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C47D7" w14:textId="56CDC40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55729">
            <w:rPr>
              <w:rFonts w:ascii="Arial" w:hAnsi="Arial" w:cs="Arial"/>
              <w:b/>
              <w:sz w:val="24"/>
            </w:rPr>
            <w:t>RAN1 #88bis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A3C9C">
            <w:rPr>
              <w:rFonts w:ascii="Arial" w:hAnsi="Arial" w:cs="Arial"/>
              <w:b/>
              <w:sz w:val="24"/>
            </w:rPr>
            <w:t>R1-1705034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88CD8C0" w14:textId="45DC1EEE" w:rsidR="00425159" w:rsidRPr="00425159" w:rsidRDefault="00D55729"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1B88BED3" w14:textId="77777777" w:rsidR="005824B6" w:rsidRDefault="005824B6" w:rsidP="00425159">
      <w:pPr>
        <w:spacing w:after="0"/>
        <w:ind w:left="1988" w:hanging="1988"/>
        <w:jc w:val="both"/>
        <w:rPr>
          <w:rFonts w:ascii="Arial" w:hAnsi="Arial" w:cs="Arial"/>
          <w:b/>
          <w:sz w:val="24"/>
        </w:rPr>
      </w:pPr>
    </w:p>
    <w:p w14:paraId="0E6408D5"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EB38702"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D43CE">
            <w:rPr>
              <w:rFonts w:ascii="Arial" w:hAnsi="Arial" w:cs="Arial"/>
              <w:b/>
              <w:sz w:val="24"/>
            </w:rPr>
            <w:t xml:space="preserve">Minimum HARQ processing time and </w:t>
          </w:r>
          <w:r w:rsidR="00646E20">
            <w:rPr>
              <w:rFonts w:ascii="Arial" w:hAnsi="Arial" w:cs="Arial"/>
              <w:b/>
              <w:sz w:val="24"/>
            </w:rPr>
            <w:t>Number of</w:t>
          </w:r>
          <w:r w:rsidR="005D43CE">
            <w:rPr>
              <w:rFonts w:ascii="Arial" w:hAnsi="Arial" w:cs="Arial"/>
              <w:b/>
              <w:sz w:val="24"/>
            </w:rPr>
            <w:t xml:space="preserve"> HARQ processes</w:t>
          </w:r>
        </w:sdtContent>
      </w:sdt>
    </w:p>
    <w:p w14:paraId="384F10F9" w14:textId="2DDD086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D55729">
            <w:rPr>
              <w:rFonts w:ascii="Arial" w:hAnsi="Arial" w:cs="Arial"/>
              <w:b/>
              <w:sz w:val="24"/>
            </w:rPr>
            <w:t>8.1.3.3.3</w:t>
          </w:r>
        </w:sdtContent>
      </w:sdt>
    </w:p>
    <w:p w14:paraId="4C4AF19B"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72239648" w14:textId="77777777" w:rsidR="00EA6506" w:rsidRPr="009A37AC" w:rsidRDefault="00EA6506" w:rsidP="00EA6506">
      <w:pPr>
        <w:spacing w:after="0"/>
        <w:ind w:left="2388" w:hangingChars="995" w:hanging="2388"/>
        <w:jc w:val="both"/>
        <w:rPr>
          <w:sz w:val="24"/>
        </w:rPr>
      </w:pPr>
      <w:bookmarkStart w:id="0" w:name="_GoBack"/>
      <w:bookmarkEnd w:id="0"/>
    </w:p>
    <w:p w14:paraId="5A49333A" w14:textId="77777777" w:rsidR="00A72C6C" w:rsidRPr="002B5BBB" w:rsidRDefault="00A72C6C" w:rsidP="00F62F84">
      <w:pPr>
        <w:pStyle w:val="Heading1"/>
        <w:numPr>
          <w:ilvl w:val="0"/>
          <w:numId w:val="27"/>
        </w:numPr>
        <w:ind w:left="360"/>
        <w:textAlignment w:val="auto"/>
        <w:rPr>
          <w:sz w:val="32"/>
        </w:rPr>
      </w:pPr>
      <w:r w:rsidRPr="002B5BBB">
        <w:rPr>
          <w:sz w:val="32"/>
        </w:rPr>
        <w:t>Introduction</w:t>
      </w:r>
    </w:p>
    <w:p w14:paraId="453F27A3" w14:textId="1EAB8D4B" w:rsidR="00123EDA" w:rsidRDefault="002B3F00" w:rsidP="000349E0">
      <w:pPr>
        <w:spacing w:before="240"/>
        <w:ind w:firstLine="288"/>
        <w:jc w:val="both"/>
        <w:rPr>
          <w:sz w:val="22"/>
          <w:szCs w:val="22"/>
        </w:rPr>
      </w:pPr>
      <w:r>
        <w:rPr>
          <w:sz w:val="22"/>
          <w:szCs w:val="22"/>
        </w:rPr>
        <w:t>In this contribution, we discuss the minimum HARQ processing time and number of HARQ process for NR UEs. The following are agreements on the HARQ processing time made in RAN1 NR Ad-hoc #1</w:t>
      </w:r>
      <w:r w:rsidR="00602019">
        <w:rPr>
          <w:sz w:val="22"/>
          <w:szCs w:val="22"/>
        </w:rPr>
        <w:t xml:space="preserve"> and RAN1 #88</w:t>
      </w:r>
      <w:r>
        <w:rPr>
          <w:sz w:val="22"/>
          <w:szCs w:val="22"/>
        </w:rPr>
        <w:t>.</w:t>
      </w:r>
    </w:p>
    <w:tbl>
      <w:tblPr>
        <w:tblStyle w:val="TableGrid"/>
        <w:tblW w:w="0" w:type="auto"/>
        <w:tblLook w:val="04A0" w:firstRow="1" w:lastRow="0" w:firstColumn="1" w:lastColumn="0" w:noHBand="0" w:noVBand="1"/>
      </w:tblPr>
      <w:tblGrid>
        <w:gridCol w:w="9962"/>
      </w:tblGrid>
      <w:tr w:rsidR="002B3F00" w14:paraId="7BDF511E" w14:textId="77777777" w:rsidTr="002B3F00">
        <w:tc>
          <w:tcPr>
            <w:tcW w:w="9962" w:type="dxa"/>
          </w:tcPr>
          <w:p w14:paraId="2C08397A" w14:textId="77777777" w:rsidR="00D55729" w:rsidRPr="007355DA" w:rsidRDefault="00D55729" w:rsidP="00D55729">
            <w:pPr>
              <w:spacing w:before="0" w:after="0" w:line="240" w:lineRule="auto"/>
              <w:rPr>
                <w:rFonts w:eastAsia="MS Mincho"/>
                <w:highlight w:val="darkYellow"/>
                <w:lang w:eastAsia="ja-JP"/>
              </w:rPr>
            </w:pPr>
            <w:r w:rsidRPr="007355DA">
              <w:rPr>
                <w:rFonts w:eastAsia="MS Mincho"/>
                <w:highlight w:val="darkYellow"/>
                <w:lang w:eastAsia="ja-JP"/>
              </w:rPr>
              <w:t>Working assumption</w:t>
            </w:r>
            <w:r w:rsidRPr="007355DA">
              <w:rPr>
                <w:rFonts w:eastAsia="MS Mincho" w:hint="eastAsia"/>
                <w:highlight w:val="darkYellow"/>
                <w:lang w:eastAsia="ja-JP"/>
              </w:rPr>
              <w:t>:</w:t>
            </w:r>
          </w:p>
          <w:p w14:paraId="5291C94C" w14:textId="77777777" w:rsidR="00D55729" w:rsidRPr="007355DA" w:rsidRDefault="00D55729" w:rsidP="00D55729">
            <w:pPr>
              <w:numPr>
                <w:ilvl w:val="0"/>
                <w:numId w:val="28"/>
              </w:numPr>
              <w:overflowPunct/>
              <w:autoSpaceDE/>
              <w:autoSpaceDN/>
              <w:adjustRightInd/>
              <w:spacing w:before="0" w:after="0" w:line="240" w:lineRule="auto"/>
              <w:textAlignment w:val="auto"/>
              <w:rPr>
                <w:rFonts w:eastAsia="MS Mincho"/>
                <w:lang w:eastAsia="ja-JP"/>
              </w:rPr>
            </w:pPr>
            <w:r w:rsidRPr="007355DA">
              <w:rPr>
                <w:rFonts w:eastAsia="MS Mincho"/>
                <w:lang w:eastAsia="ja-JP"/>
              </w:rPr>
              <w:t xml:space="preserve">CBG-based transmission with </w:t>
            </w:r>
            <w:r w:rsidRPr="007355DA">
              <w:rPr>
                <w:rFonts w:eastAsia="MS Mincho" w:hint="eastAsia"/>
                <w:lang w:eastAsia="ja-JP"/>
              </w:rPr>
              <w:t>single/</w:t>
            </w:r>
            <w:r w:rsidRPr="007355DA">
              <w:rPr>
                <w:rFonts w:eastAsia="MS Mincho"/>
                <w:lang w:eastAsia="ja-JP"/>
              </w:rPr>
              <w:t>multi-bit HARQ-ACK feedback is supported in Rel-15, which shall have the following characteristics:</w:t>
            </w:r>
          </w:p>
          <w:p w14:paraId="3DE4497E" w14:textId="77777777" w:rsidR="00D55729" w:rsidRPr="007355DA" w:rsidRDefault="00D55729" w:rsidP="00D55729">
            <w:pPr>
              <w:numPr>
                <w:ilvl w:val="1"/>
                <w:numId w:val="28"/>
              </w:numPr>
              <w:overflowPunct/>
              <w:autoSpaceDE/>
              <w:autoSpaceDN/>
              <w:adjustRightInd/>
              <w:spacing w:before="0" w:after="0" w:line="240" w:lineRule="auto"/>
              <w:textAlignment w:val="auto"/>
              <w:rPr>
                <w:rFonts w:eastAsia="MS Mincho"/>
                <w:lang w:eastAsia="ja-JP"/>
              </w:rPr>
            </w:pPr>
            <w:r w:rsidRPr="007355DA">
              <w:rPr>
                <w:rFonts w:eastAsia="MS Mincho" w:hint="eastAsia"/>
                <w:lang w:eastAsia="ja-JP"/>
              </w:rPr>
              <w:t>O</w:t>
            </w:r>
            <w:r w:rsidRPr="007355DA">
              <w:rPr>
                <w:rFonts w:eastAsia="MS Mincho"/>
                <w:lang w:eastAsia="ja-JP"/>
              </w:rPr>
              <w:t>nly allow CBG based (re)-transmission for the same TB of a HARQ process</w:t>
            </w:r>
          </w:p>
          <w:p w14:paraId="79E43B4A" w14:textId="77777777" w:rsidR="00D55729" w:rsidRPr="007355DA" w:rsidRDefault="00D55729" w:rsidP="00D55729">
            <w:pPr>
              <w:numPr>
                <w:ilvl w:val="1"/>
                <w:numId w:val="28"/>
              </w:numPr>
              <w:overflowPunct/>
              <w:autoSpaceDE/>
              <w:autoSpaceDN/>
              <w:adjustRightInd/>
              <w:spacing w:before="0" w:after="0" w:line="240" w:lineRule="auto"/>
              <w:textAlignment w:val="auto"/>
              <w:rPr>
                <w:rFonts w:eastAsia="MS Mincho"/>
                <w:lang w:eastAsia="ja-JP"/>
              </w:rPr>
            </w:pPr>
            <w:r w:rsidRPr="007355DA">
              <w:rPr>
                <w:rFonts w:eastAsia="MS Mincho" w:hint="eastAsia"/>
                <w:lang w:eastAsia="ja-JP"/>
              </w:rPr>
              <w:t xml:space="preserve">CBG can include all CB of a TB regardless of the size of the TB </w:t>
            </w:r>
            <w:r w:rsidRPr="007355DA">
              <w:rPr>
                <w:rFonts w:eastAsia="MS Mincho"/>
                <w:lang w:eastAsia="ja-JP"/>
              </w:rPr>
              <w:t>–</w:t>
            </w:r>
            <w:r w:rsidRPr="007355DA">
              <w:rPr>
                <w:rFonts w:eastAsia="MS Mincho" w:hint="eastAsia"/>
                <w:lang w:eastAsia="ja-JP"/>
              </w:rPr>
              <w:t xml:space="preserve"> In the such case, UE reports single HARQ ACK bits for the TB</w:t>
            </w:r>
          </w:p>
          <w:p w14:paraId="43C381E4" w14:textId="77777777" w:rsidR="00D55729" w:rsidRPr="007355DA" w:rsidRDefault="00D55729" w:rsidP="00D55729">
            <w:pPr>
              <w:numPr>
                <w:ilvl w:val="1"/>
                <w:numId w:val="28"/>
              </w:numPr>
              <w:overflowPunct/>
              <w:autoSpaceDE/>
              <w:autoSpaceDN/>
              <w:adjustRightInd/>
              <w:spacing w:before="0" w:after="0" w:line="240" w:lineRule="auto"/>
              <w:textAlignment w:val="auto"/>
              <w:rPr>
                <w:rFonts w:eastAsia="MS Mincho"/>
                <w:lang w:eastAsia="ja-JP"/>
              </w:rPr>
            </w:pPr>
            <w:r w:rsidRPr="007355DA">
              <w:rPr>
                <w:rFonts w:eastAsia="MS Mincho" w:hint="eastAsia"/>
                <w:lang w:eastAsia="ja-JP"/>
              </w:rPr>
              <w:t>CBG can include one CB</w:t>
            </w:r>
          </w:p>
          <w:p w14:paraId="3E5AD2FB" w14:textId="77777777" w:rsidR="00D55729" w:rsidRPr="007355DA" w:rsidRDefault="00D55729" w:rsidP="00D55729">
            <w:pPr>
              <w:numPr>
                <w:ilvl w:val="1"/>
                <w:numId w:val="28"/>
              </w:numPr>
              <w:overflowPunct/>
              <w:autoSpaceDE/>
              <w:autoSpaceDN/>
              <w:adjustRightInd/>
              <w:spacing w:before="0" w:after="0" w:line="240" w:lineRule="auto"/>
              <w:textAlignment w:val="auto"/>
              <w:rPr>
                <w:rFonts w:eastAsia="MS Mincho"/>
                <w:lang w:eastAsia="ja-JP"/>
              </w:rPr>
            </w:pPr>
            <w:r w:rsidRPr="007355DA">
              <w:rPr>
                <w:rFonts w:eastAsia="MS Mincho" w:hint="eastAsia"/>
                <w:lang w:eastAsia="ja-JP"/>
              </w:rPr>
              <w:t xml:space="preserve">CBG </w:t>
            </w:r>
            <w:r w:rsidRPr="007355DA">
              <w:rPr>
                <w:rFonts w:eastAsia="MS Mincho"/>
                <w:lang w:eastAsia="ja-JP"/>
              </w:rPr>
              <w:t>granularity</w:t>
            </w:r>
            <w:r w:rsidRPr="007355DA">
              <w:rPr>
                <w:rFonts w:eastAsia="MS Mincho" w:hint="eastAsia"/>
                <w:lang w:eastAsia="ja-JP"/>
              </w:rPr>
              <w:t xml:space="preserve"> is configurable</w:t>
            </w:r>
          </w:p>
          <w:p w14:paraId="38F1B70D" w14:textId="77777777" w:rsidR="00D55729" w:rsidRDefault="00D55729" w:rsidP="00D55729">
            <w:pPr>
              <w:spacing w:before="0" w:after="0" w:line="240" w:lineRule="auto"/>
              <w:rPr>
                <w:rFonts w:eastAsia="MS Mincho"/>
                <w:b/>
                <w:highlight w:val="green"/>
                <w:u w:val="single"/>
                <w:lang w:eastAsia="ja-JP"/>
              </w:rPr>
            </w:pPr>
          </w:p>
          <w:p w14:paraId="22E083D0" w14:textId="77777777" w:rsidR="002B3F00" w:rsidRPr="00B809F1" w:rsidRDefault="002B3F00" w:rsidP="00D55729">
            <w:pPr>
              <w:spacing w:before="0" w:after="0" w:line="240" w:lineRule="auto"/>
              <w:rPr>
                <w:rFonts w:eastAsia="MS Mincho"/>
                <w:b/>
                <w:u w:val="single"/>
                <w:lang w:eastAsia="ja-JP"/>
              </w:rPr>
            </w:pPr>
            <w:r w:rsidRPr="0062276B">
              <w:rPr>
                <w:rFonts w:eastAsia="MS Mincho" w:hint="eastAsia"/>
                <w:b/>
                <w:highlight w:val="green"/>
                <w:u w:val="single"/>
                <w:lang w:eastAsia="ja-JP"/>
              </w:rPr>
              <w:t>Agreements:</w:t>
            </w:r>
          </w:p>
          <w:p w14:paraId="1A2D961C" w14:textId="77777777" w:rsidR="002B3F00" w:rsidRPr="00B809F1" w:rsidRDefault="002B3F00" w:rsidP="00D55729">
            <w:pPr>
              <w:numPr>
                <w:ilvl w:val="0"/>
                <w:numId w:val="24"/>
              </w:numPr>
              <w:overflowPunct/>
              <w:autoSpaceDE/>
              <w:autoSpaceDN/>
              <w:adjustRightInd/>
              <w:spacing w:before="0" w:after="0" w:line="240" w:lineRule="auto"/>
              <w:textAlignment w:val="auto"/>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14:paraId="61E477F4" w14:textId="77777777" w:rsidR="002B3F00" w:rsidRPr="00B809F1"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14DAA5EF" w14:textId="77777777" w:rsidR="002B3F00" w:rsidRPr="00B809F1" w:rsidRDefault="002B3F00" w:rsidP="00D55729">
            <w:pPr>
              <w:numPr>
                <w:ilvl w:val="0"/>
                <w:numId w:val="24"/>
              </w:numPr>
              <w:overflowPunct/>
              <w:autoSpaceDE/>
              <w:autoSpaceDN/>
              <w:adjustRightInd/>
              <w:spacing w:before="0" w:after="0" w:line="240" w:lineRule="auto"/>
              <w:textAlignment w:val="auto"/>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14:paraId="231C7095" w14:textId="77777777" w:rsidR="002B3F00" w:rsidRPr="008966EE"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1517C4CC" w14:textId="77777777" w:rsidR="002B3F00" w:rsidRPr="008966EE" w:rsidRDefault="002B3F00" w:rsidP="00D55729">
            <w:pPr>
              <w:numPr>
                <w:ilvl w:val="0"/>
                <w:numId w:val="24"/>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14:paraId="4BE57038" w14:textId="77777777" w:rsidR="002B3F00" w:rsidRPr="00B809F1"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3C0EF155" w14:textId="77777777" w:rsidR="002B3F00" w:rsidRPr="00B809F1" w:rsidRDefault="002B3F00" w:rsidP="00D55729">
            <w:pPr>
              <w:numPr>
                <w:ilvl w:val="0"/>
                <w:numId w:val="24"/>
              </w:numPr>
              <w:overflowPunct/>
              <w:autoSpaceDE/>
              <w:autoSpaceDN/>
              <w:adjustRightInd/>
              <w:spacing w:before="0" w:after="0" w:line="240" w:lineRule="auto"/>
              <w:textAlignment w:val="auto"/>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14:paraId="244D0D51" w14:textId="77777777" w:rsidR="002B3F00"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Pr>
                <w:rFonts w:eastAsia="MS Mincho"/>
                <w:lang w:eastAsia="ja-JP"/>
              </w:rPr>
              <w:t xml:space="preserve">FFS the value for the </w:t>
            </w:r>
            <w:r w:rsidRPr="00B809F1">
              <w:rPr>
                <w:rFonts w:eastAsia="MS Mincho"/>
                <w:lang w:eastAsia="ja-JP"/>
              </w:rPr>
              <w:t>timing</w:t>
            </w:r>
          </w:p>
          <w:p w14:paraId="3B04A22F" w14:textId="77777777" w:rsidR="00525031" w:rsidRDefault="00525031" w:rsidP="00D55729">
            <w:pPr>
              <w:spacing w:before="0" w:after="0" w:line="240" w:lineRule="auto"/>
              <w:rPr>
                <w:rFonts w:eastAsia="MS Mincho"/>
                <w:b/>
                <w:highlight w:val="green"/>
                <w:u w:val="single"/>
                <w:lang w:eastAsia="ja-JP"/>
              </w:rPr>
            </w:pPr>
          </w:p>
          <w:p w14:paraId="3BCEC309" w14:textId="77777777" w:rsidR="002B3F00" w:rsidRPr="00C353B1" w:rsidRDefault="002B3F00" w:rsidP="00D55729">
            <w:pPr>
              <w:spacing w:before="0" w:after="0" w:line="240" w:lineRule="auto"/>
              <w:rPr>
                <w:rFonts w:eastAsia="MS Mincho"/>
                <w:b/>
                <w:u w:val="single"/>
                <w:lang w:eastAsia="ja-JP"/>
              </w:rPr>
            </w:pPr>
            <w:r w:rsidRPr="00CE6B7C">
              <w:rPr>
                <w:rFonts w:eastAsia="MS Mincho" w:hint="eastAsia"/>
                <w:b/>
                <w:highlight w:val="green"/>
                <w:u w:val="single"/>
                <w:lang w:eastAsia="ja-JP"/>
              </w:rPr>
              <w:t>Agreements:</w:t>
            </w:r>
          </w:p>
          <w:p w14:paraId="061D0192" w14:textId="77777777" w:rsidR="002B3F00" w:rsidRDefault="002B3F00" w:rsidP="00D55729">
            <w:pPr>
              <w:numPr>
                <w:ilvl w:val="0"/>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NR UE supports a set of minimum HARQ processing time</w:t>
            </w:r>
          </w:p>
          <w:p w14:paraId="21D1F497" w14:textId="77777777" w:rsidR="002B3F00"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set size</w:t>
            </w:r>
          </w:p>
          <w:p w14:paraId="0EA10153" w14:textId="77777777" w:rsidR="002B3F00" w:rsidRPr="00C353B1" w:rsidRDefault="002B3F00" w:rsidP="00D55729">
            <w:pPr>
              <w:numPr>
                <w:ilvl w:val="0"/>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14:paraId="51BC9708" w14:textId="77777777" w:rsidR="002B3F00" w:rsidRPr="00C353B1"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The HARQ processing time at least includes:</w:t>
            </w:r>
          </w:p>
          <w:p w14:paraId="4AFAEB7E" w14:textId="77777777" w:rsidR="002B3F00" w:rsidRPr="00C353B1" w:rsidRDefault="002B3F00" w:rsidP="00D55729">
            <w:pPr>
              <w:numPr>
                <w:ilvl w:val="2"/>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Delay between DL data reception timing to the corresponding HARQ-ACK transmission timing</w:t>
            </w:r>
          </w:p>
          <w:p w14:paraId="17291598" w14:textId="77777777" w:rsidR="002B3F00" w:rsidRPr="00C353B1" w:rsidRDefault="002B3F00" w:rsidP="00D55729">
            <w:pPr>
              <w:numPr>
                <w:ilvl w:val="2"/>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 xml:space="preserve">Delay between UL grant reception timing to the corresponding </w:t>
            </w:r>
            <w:r w:rsidRPr="00C353B1">
              <w:rPr>
                <w:rFonts w:eastAsia="MS Mincho"/>
                <w:lang w:eastAsia="ja-JP"/>
              </w:rPr>
              <w:br/>
              <w:t>UL data transmission timing</w:t>
            </w:r>
          </w:p>
          <w:p w14:paraId="1E2E3360" w14:textId="77777777" w:rsidR="002B3F00" w:rsidRPr="00F678C4"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gNB</w:t>
            </w:r>
          </w:p>
          <w:p w14:paraId="6D75A477" w14:textId="77777777" w:rsidR="002B3F00" w:rsidRPr="008C1ECB" w:rsidRDefault="002B3F00" w:rsidP="00D55729">
            <w:pPr>
              <w:numPr>
                <w:ilvl w:val="2"/>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14:paraId="55336B15" w14:textId="77777777" w:rsidR="002B3F00" w:rsidRDefault="002B3F00" w:rsidP="00D55729">
            <w:pPr>
              <w:numPr>
                <w:ilvl w:val="3"/>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e.g. reported processing time granularity</w:t>
            </w:r>
          </w:p>
          <w:p w14:paraId="309FD63A" w14:textId="77777777" w:rsidR="002B3F00" w:rsidRDefault="002B3F00" w:rsidP="00D55729">
            <w:pPr>
              <w:numPr>
                <w:ilvl w:val="3"/>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e.g. dependency of DMRS pattern configuration</w:t>
            </w:r>
          </w:p>
          <w:p w14:paraId="7EEA417D" w14:textId="77777777" w:rsidR="002B3F00" w:rsidRPr="00FB3034" w:rsidRDefault="002B3F00" w:rsidP="00D55729">
            <w:pPr>
              <w:numPr>
                <w:ilvl w:val="1"/>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FFS definition of </w:t>
            </w:r>
            <w:r>
              <w:rPr>
                <w:rFonts w:eastAsia="MS Mincho"/>
                <w:lang w:eastAsia="ja-JP"/>
              </w:rPr>
              <w:t>minimum HARQ processing time</w:t>
            </w:r>
          </w:p>
        </w:tc>
      </w:tr>
    </w:tbl>
    <w:p w14:paraId="4137DDB7" w14:textId="77777777" w:rsidR="000349E0" w:rsidRDefault="000349E0" w:rsidP="000349E0">
      <w:pPr>
        <w:spacing w:before="240"/>
        <w:ind w:firstLine="288"/>
        <w:jc w:val="both"/>
        <w:rPr>
          <w:sz w:val="22"/>
          <w:szCs w:val="22"/>
          <w:lang w:val="en-GB"/>
        </w:rPr>
      </w:pPr>
    </w:p>
    <w:p w14:paraId="17418C07" w14:textId="77777777" w:rsidR="000349E0" w:rsidRPr="000349E0" w:rsidRDefault="000349E0" w:rsidP="00F62F84">
      <w:pPr>
        <w:pStyle w:val="Heading1"/>
        <w:numPr>
          <w:ilvl w:val="0"/>
          <w:numId w:val="27"/>
        </w:numPr>
        <w:ind w:left="360"/>
        <w:textAlignment w:val="auto"/>
        <w:rPr>
          <w:sz w:val="32"/>
        </w:rPr>
      </w:pPr>
      <w:r w:rsidRPr="000349E0">
        <w:rPr>
          <w:sz w:val="32"/>
        </w:rPr>
        <w:lastRenderedPageBreak/>
        <w:t>Discussion</w:t>
      </w:r>
      <w:r w:rsidR="00FB3034">
        <w:rPr>
          <w:sz w:val="32"/>
        </w:rPr>
        <w:t xml:space="preserve"> on Minimum HARQ Process Time</w:t>
      </w:r>
    </w:p>
    <w:p w14:paraId="48A59427" w14:textId="691A296B" w:rsidR="00A73741" w:rsidRDefault="008373AF" w:rsidP="000349E0">
      <w:pPr>
        <w:ind w:firstLine="284"/>
        <w:jc w:val="both"/>
        <w:rPr>
          <w:sz w:val="22"/>
          <w:szCs w:val="22"/>
        </w:rPr>
      </w:pPr>
      <w:r>
        <w:rPr>
          <w:sz w:val="22"/>
          <w:szCs w:val="22"/>
        </w:rPr>
        <w:t xml:space="preserve">The HARQ processing time for </w:t>
      </w:r>
      <w:r w:rsidR="00314664">
        <w:rPr>
          <w:sz w:val="22"/>
          <w:szCs w:val="22"/>
        </w:rPr>
        <w:t>reception of packet (e.g. transport block)</w:t>
      </w:r>
      <w:r>
        <w:rPr>
          <w:sz w:val="22"/>
          <w:szCs w:val="22"/>
        </w:rPr>
        <w:t xml:space="preserve"> is determined by the payload size, which impacts number of code blocks (CB) the receiver needs to process, </w:t>
      </w:r>
      <w:r w:rsidR="009C2B52">
        <w:rPr>
          <w:sz w:val="22"/>
          <w:szCs w:val="22"/>
        </w:rPr>
        <w:t>permissible</w:t>
      </w:r>
      <w:r w:rsidR="00314664">
        <w:rPr>
          <w:sz w:val="22"/>
          <w:szCs w:val="22"/>
        </w:rPr>
        <w:t xml:space="preserve"> pipelining</w:t>
      </w:r>
      <w:r w:rsidR="009C2B52">
        <w:rPr>
          <w:sz w:val="22"/>
          <w:szCs w:val="22"/>
        </w:rPr>
        <w:t>,</w:t>
      </w:r>
      <w:r w:rsidR="00314664">
        <w:rPr>
          <w:sz w:val="22"/>
          <w:szCs w:val="22"/>
        </w:rPr>
        <w:t xml:space="preserve"> </w:t>
      </w:r>
      <w:r>
        <w:rPr>
          <w:sz w:val="22"/>
          <w:szCs w:val="22"/>
        </w:rPr>
        <w:t>and receiver processing capability.</w:t>
      </w:r>
      <w:r w:rsidR="00D26B1C">
        <w:rPr>
          <w:sz w:val="22"/>
          <w:szCs w:val="22"/>
        </w:rPr>
        <w:t xml:space="preserve"> For a given HARQ process </w:t>
      </w:r>
      <w:r w:rsidR="009C2B52">
        <w:rPr>
          <w:sz w:val="22"/>
          <w:szCs w:val="22"/>
        </w:rPr>
        <w:t xml:space="preserve">feedback timing </w:t>
      </w:r>
      <w:r w:rsidR="00D26B1C">
        <w:rPr>
          <w:sz w:val="22"/>
          <w:szCs w:val="22"/>
        </w:rPr>
        <w:t>configured by higher layers, several factors need to be taken into account to determine whether or not the receiver is able to processing the received signal in time to generate a HARQ-ACK and send it in the indicat</w:t>
      </w:r>
      <w:r w:rsidR="00A73741">
        <w:rPr>
          <w:sz w:val="22"/>
          <w:szCs w:val="22"/>
        </w:rPr>
        <w:t xml:space="preserve">ed time instance. In this section, we discuss some factors that </w:t>
      </w:r>
      <w:r w:rsidR="00065D0E">
        <w:rPr>
          <w:sz w:val="22"/>
          <w:szCs w:val="22"/>
        </w:rPr>
        <w:t xml:space="preserve">affect </w:t>
      </w:r>
      <w:r w:rsidR="00A73741">
        <w:rPr>
          <w:sz w:val="22"/>
          <w:szCs w:val="22"/>
        </w:rPr>
        <w:t xml:space="preserve">HARQ processing time that were not </w:t>
      </w:r>
      <w:r w:rsidR="00696CF5">
        <w:rPr>
          <w:sz w:val="22"/>
          <w:szCs w:val="22"/>
        </w:rPr>
        <w:t xml:space="preserve">explicitly </w:t>
      </w:r>
      <w:r w:rsidR="00A73741">
        <w:rPr>
          <w:sz w:val="22"/>
          <w:szCs w:val="22"/>
        </w:rPr>
        <w:t>mentioned in the agreements made.</w:t>
      </w:r>
    </w:p>
    <w:p w14:paraId="5976F096" w14:textId="2BB3E9A7" w:rsidR="00876603" w:rsidRPr="009C6263" w:rsidRDefault="00A73741" w:rsidP="00427FDC">
      <w:pPr>
        <w:ind w:firstLine="284"/>
        <w:jc w:val="both"/>
        <w:rPr>
          <w:sz w:val="22"/>
          <w:szCs w:val="22"/>
        </w:rPr>
      </w:pPr>
      <w:r w:rsidRPr="00521DFD">
        <w:rPr>
          <w:i/>
          <w:sz w:val="22"/>
          <w:szCs w:val="22"/>
        </w:rPr>
        <w:t xml:space="preserve">Payload </w:t>
      </w:r>
      <w:r w:rsidRPr="00876603">
        <w:rPr>
          <w:i/>
          <w:sz w:val="22"/>
          <w:szCs w:val="22"/>
        </w:rPr>
        <w:t>size</w:t>
      </w:r>
      <w:r w:rsidR="00427FDC" w:rsidRPr="00876603">
        <w:rPr>
          <w:i/>
          <w:sz w:val="22"/>
          <w:szCs w:val="22"/>
        </w:rPr>
        <w:t xml:space="preserve"> &amp; </w:t>
      </w:r>
      <w:r w:rsidR="00427FDC" w:rsidRPr="009C6263">
        <w:rPr>
          <w:i/>
          <w:sz w:val="22"/>
          <w:szCs w:val="22"/>
        </w:rPr>
        <w:t>TTI length of a transmission (i.e. slot vs. mini-slot) and maximum bandwidth</w:t>
      </w:r>
    </w:p>
    <w:p w14:paraId="5BB5A075" w14:textId="19EA3A80" w:rsidR="00FE4021" w:rsidRDefault="00FE4021" w:rsidP="000349E0">
      <w:pPr>
        <w:ind w:firstLine="284"/>
        <w:jc w:val="both"/>
        <w:rPr>
          <w:sz w:val="22"/>
          <w:szCs w:val="22"/>
        </w:rPr>
      </w:pPr>
      <w:r>
        <w:rPr>
          <w:sz w:val="22"/>
          <w:szCs w:val="22"/>
        </w:rPr>
        <w:t>First factor is payload size</w:t>
      </w:r>
      <w:r w:rsidR="005D34CF">
        <w:rPr>
          <w:sz w:val="22"/>
          <w:szCs w:val="22"/>
        </w:rPr>
        <w:t xml:space="preserve"> </w:t>
      </w:r>
      <w:r w:rsidR="00065D0E">
        <w:rPr>
          <w:sz w:val="22"/>
          <w:szCs w:val="22"/>
        </w:rPr>
        <w:t xml:space="preserve">(or transport block size) </w:t>
      </w:r>
      <w:r w:rsidR="005D34CF">
        <w:rPr>
          <w:sz w:val="22"/>
          <w:szCs w:val="22"/>
        </w:rPr>
        <w:t>to process within a given time budget</w:t>
      </w:r>
      <w:r w:rsidR="00696CF5">
        <w:rPr>
          <w:sz w:val="22"/>
          <w:szCs w:val="22"/>
        </w:rPr>
        <w:t xml:space="preserve"> (or slot)</w:t>
      </w:r>
      <w:r>
        <w:rPr>
          <w:sz w:val="22"/>
          <w:szCs w:val="22"/>
        </w:rPr>
        <w:t xml:space="preserve">. Although the </w:t>
      </w:r>
      <w:r w:rsidR="00065D0E">
        <w:rPr>
          <w:sz w:val="22"/>
          <w:szCs w:val="22"/>
        </w:rPr>
        <w:t>detailed design of NR LDPC</w:t>
      </w:r>
      <w:r>
        <w:rPr>
          <w:sz w:val="22"/>
          <w:szCs w:val="22"/>
        </w:rPr>
        <w:t xml:space="preserve"> </w:t>
      </w:r>
      <w:r w:rsidR="00065D0E">
        <w:rPr>
          <w:sz w:val="22"/>
          <w:szCs w:val="22"/>
        </w:rPr>
        <w:t xml:space="preserve">scheme </w:t>
      </w:r>
      <w:r>
        <w:rPr>
          <w:sz w:val="22"/>
          <w:szCs w:val="22"/>
        </w:rPr>
        <w:t xml:space="preserve">is on-going, </w:t>
      </w:r>
      <w:r w:rsidR="00065D0E">
        <w:rPr>
          <w:sz w:val="22"/>
          <w:szCs w:val="22"/>
        </w:rPr>
        <w:t>the transpor</w:t>
      </w:r>
      <w:r>
        <w:rPr>
          <w:sz w:val="22"/>
          <w:szCs w:val="22"/>
        </w:rPr>
        <w:t xml:space="preserve">t </w:t>
      </w:r>
      <w:r w:rsidR="00065D0E">
        <w:rPr>
          <w:sz w:val="22"/>
          <w:szCs w:val="22"/>
        </w:rPr>
        <w:t xml:space="preserve">block size and code block segmentation </w:t>
      </w:r>
      <w:r>
        <w:rPr>
          <w:sz w:val="22"/>
          <w:szCs w:val="22"/>
        </w:rPr>
        <w:t xml:space="preserve">will </w:t>
      </w:r>
      <w:r w:rsidR="00065D0E">
        <w:rPr>
          <w:sz w:val="22"/>
          <w:szCs w:val="22"/>
        </w:rPr>
        <w:t>determine</w:t>
      </w:r>
      <w:r>
        <w:rPr>
          <w:sz w:val="22"/>
          <w:szCs w:val="22"/>
        </w:rPr>
        <w:t xml:space="preserve"> the number </w:t>
      </w:r>
      <w:r w:rsidR="00065D0E">
        <w:rPr>
          <w:sz w:val="22"/>
          <w:szCs w:val="22"/>
        </w:rPr>
        <w:t xml:space="preserve">and size </w:t>
      </w:r>
      <w:r>
        <w:rPr>
          <w:sz w:val="22"/>
          <w:szCs w:val="22"/>
        </w:rPr>
        <w:t xml:space="preserve">of code blocks (CB) </w:t>
      </w:r>
      <w:r w:rsidR="00065D0E">
        <w:rPr>
          <w:sz w:val="22"/>
          <w:szCs w:val="22"/>
        </w:rPr>
        <w:t>to process</w:t>
      </w:r>
      <w:r>
        <w:rPr>
          <w:sz w:val="22"/>
          <w:szCs w:val="22"/>
        </w:rPr>
        <w:t xml:space="preserve">. </w:t>
      </w:r>
      <w:r w:rsidR="00065D0E">
        <w:rPr>
          <w:sz w:val="22"/>
          <w:szCs w:val="22"/>
        </w:rPr>
        <w:t xml:space="preserve">These factors, along with </w:t>
      </w:r>
      <w:r w:rsidR="005D34CF">
        <w:rPr>
          <w:sz w:val="22"/>
          <w:szCs w:val="22"/>
        </w:rPr>
        <w:t>the mapping to physical resources</w:t>
      </w:r>
      <w:r w:rsidR="00065D0E">
        <w:rPr>
          <w:sz w:val="22"/>
          <w:szCs w:val="22"/>
        </w:rPr>
        <w:t xml:space="preserve"> (e.g. time/frequency/spatial) and timely availability of DMRS, will drive </w:t>
      </w:r>
      <w:r>
        <w:rPr>
          <w:sz w:val="22"/>
          <w:szCs w:val="22"/>
        </w:rPr>
        <w:t xml:space="preserve">processing time </w:t>
      </w:r>
      <w:r w:rsidR="00065D0E">
        <w:rPr>
          <w:sz w:val="22"/>
          <w:szCs w:val="22"/>
        </w:rPr>
        <w:t>at the UE</w:t>
      </w:r>
      <w:r>
        <w:rPr>
          <w:sz w:val="22"/>
          <w:szCs w:val="22"/>
        </w:rPr>
        <w:t xml:space="preserve">. </w:t>
      </w:r>
      <w:r w:rsidR="009C2B52">
        <w:rPr>
          <w:sz w:val="22"/>
          <w:szCs w:val="22"/>
        </w:rPr>
        <w:t xml:space="preserve">In particular, the mapping of the code blocks to slot(s)/minislots, and the timely availability of </w:t>
      </w:r>
      <w:r w:rsidR="00065D0E">
        <w:rPr>
          <w:sz w:val="22"/>
          <w:szCs w:val="22"/>
        </w:rPr>
        <w:t>control/</w:t>
      </w:r>
      <w:r w:rsidR="009C2B52">
        <w:rPr>
          <w:sz w:val="22"/>
          <w:szCs w:val="22"/>
        </w:rPr>
        <w:t xml:space="preserve">DMRS for early start of decoding function would </w:t>
      </w:r>
      <w:r w:rsidR="00065D0E">
        <w:rPr>
          <w:sz w:val="22"/>
          <w:szCs w:val="22"/>
        </w:rPr>
        <w:t xml:space="preserve">lengthen/compress the </w:t>
      </w:r>
      <w:r w:rsidR="009C2B52">
        <w:rPr>
          <w:sz w:val="22"/>
          <w:szCs w:val="22"/>
        </w:rPr>
        <w:t>processing time</w:t>
      </w:r>
      <w:r w:rsidR="00065D0E">
        <w:rPr>
          <w:sz w:val="22"/>
          <w:szCs w:val="22"/>
        </w:rPr>
        <w:t xml:space="preserve"> at the receiver</w:t>
      </w:r>
      <w:r w:rsidR="009C2B52">
        <w:rPr>
          <w:sz w:val="22"/>
          <w:szCs w:val="22"/>
        </w:rPr>
        <w:t xml:space="preserve">. </w:t>
      </w:r>
      <w:r w:rsidR="00427FDC">
        <w:rPr>
          <w:sz w:val="22"/>
          <w:szCs w:val="22"/>
        </w:rPr>
        <w:t xml:space="preserve">This also relates to </w:t>
      </w:r>
      <w:r w:rsidR="009C2B52">
        <w:rPr>
          <w:sz w:val="22"/>
          <w:szCs w:val="22"/>
        </w:rPr>
        <w:t>time-duration</w:t>
      </w:r>
      <w:r w:rsidR="00427FDC">
        <w:rPr>
          <w:sz w:val="22"/>
          <w:szCs w:val="22"/>
        </w:rPr>
        <w:t xml:space="preserve"> of a transmission and the maximum transmit bandwidth. </w:t>
      </w:r>
      <w:r w:rsidR="00065D0E">
        <w:rPr>
          <w:sz w:val="22"/>
          <w:szCs w:val="22"/>
        </w:rPr>
        <w:t>For a given transmission bandwidth, i</w:t>
      </w:r>
      <w:r w:rsidR="00427FDC">
        <w:rPr>
          <w:sz w:val="22"/>
          <w:szCs w:val="22"/>
        </w:rPr>
        <w:t xml:space="preserve">t is expected that use of mini-slots for transmission would result in smaller payload size relative to a transmission </w:t>
      </w:r>
      <w:r w:rsidR="00065D0E">
        <w:rPr>
          <w:sz w:val="22"/>
          <w:szCs w:val="22"/>
        </w:rPr>
        <w:t>spanning entire slot for a given</w:t>
      </w:r>
      <w:r w:rsidR="00427FDC">
        <w:rPr>
          <w:sz w:val="22"/>
          <w:szCs w:val="22"/>
        </w:rPr>
        <w:t xml:space="preserve"> transmission bandwidth</w:t>
      </w:r>
      <w:r w:rsidR="00065D0E">
        <w:rPr>
          <w:sz w:val="22"/>
          <w:szCs w:val="22"/>
        </w:rPr>
        <w:t xml:space="preserve"> and t</w:t>
      </w:r>
      <w:r w:rsidR="00427FDC">
        <w:rPr>
          <w:sz w:val="22"/>
          <w:szCs w:val="22"/>
        </w:rPr>
        <w:t xml:space="preserve">his </w:t>
      </w:r>
      <w:r w:rsidR="00065D0E">
        <w:rPr>
          <w:sz w:val="22"/>
          <w:szCs w:val="22"/>
        </w:rPr>
        <w:t>can also</w:t>
      </w:r>
      <w:r w:rsidR="00427FDC">
        <w:rPr>
          <w:sz w:val="22"/>
          <w:szCs w:val="22"/>
        </w:rPr>
        <w:t xml:space="preserve"> impact the minimum required HARQ processing time.</w:t>
      </w:r>
    </w:p>
    <w:p w14:paraId="1B6E9D5A" w14:textId="77777777" w:rsidR="00FE4021" w:rsidRPr="00521DFD" w:rsidRDefault="00FE4021" w:rsidP="000349E0">
      <w:pPr>
        <w:ind w:firstLine="284"/>
        <w:jc w:val="both"/>
        <w:rPr>
          <w:i/>
          <w:sz w:val="22"/>
          <w:szCs w:val="22"/>
        </w:rPr>
      </w:pPr>
      <w:r w:rsidRPr="00521DFD">
        <w:rPr>
          <w:i/>
          <w:sz w:val="22"/>
          <w:szCs w:val="22"/>
        </w:rPr>
        <w:t>Timing advance (TA)</w:t>
      </w:r>
    </w:p>
    <w:p w14:paraId="7D9745FB" w14:textId="5AC57283" w:rsidR="00FE4021" w:rsidRDefault="00065D0E" w:rsidP="000349E0">
      <w:pPr>
        <w:ind w:firstLine="284"/>
        <w:jc w:val="both"/>
        <w:rPr>
          <w:sz w:val="22"/>
          <w:szCs w:val="22"/>
        </w:rPr>
      </w:pPr>
      <w:r>
        <w:rPr>
          <w:sz w:val="22"/>
          <w:szCs w:val="22"/>
        </w:rPr>
        <w:t xml:space="preserve">UE is required to advance its uplink transmission of a HARQ-ACK based on timing advance value, and hence </w:t>
      </w:r>
      <w:r w:rsidR="00FE4021">
        <w:rPr>
          <w:sz w:val="22"/>
          <w:szCs w:val="22"/>
        </w:rPr>
        <w:t xml:space="preserve">TA </w:t>
      </w:r>
      <w:r>
        <w:rPr>
          <w:sz w:val="22"/>
          <w:szCs w:val="22"/>
        </w:rPr>
        <w:t xml:space="preserve">can </w:t>
      </w:r>
      <w:r w:rsidR="00FE4021">
        <w:rPr>
          <w:sz w:val="22"/>
          <w:szCs w:val="22"/>
        </w:rPr>
        <w:t>impacts HARQ processing time a</w:t>
      </w:r>
      <w:r>
        <w:rPr>
          <w:sz w:val="22"/>
          <w:szCs w:val="22"/>
        </w:rPr>
        <w:t>t</w:t>
      </w:r>
      <w:r w:rsidR="00FE4021">
        <w:rPr>
          <w:sz w:val="22"/>
          <w:szCs w:val="22"/>
        </w:rPr>
        <w:t xml:space="preserve"> the UE. </w:t>
      </w:r>
      <w:r>
        <w:rPr>
          <w:sz w:val="22"/>
          <w:szCs w:val="22"/>
        </w:rPr>
        <w:t xml:space="preserve">If a larger TA value is applied, the UE has to finish its decoding earlier, in order to prepare and start transmission of the uplink HARQ-ACK </w:t>
      </w:r>
      <w:r w:rsidR="00993EA8">
        <w:rPr>
          <w:sz w:val="22"/>
          <w:szCs w:val="22"/>
        </w:rPr>
        <w:t>earlier</w:t>
      </w:r>
      <w:r w:rsidR="00521DFD">
        <w:rPr>
          <w:sz w:val="22"/>
          <w:szCs w:val="22"/>
        </w:rPr>
        <w:t>. Th</w:t>
      </w:r>
      <w:r w:rsidR="005D34CF">
        <w:rPr>
          <w:sz w:val="22"/>
          <w:szCs w:val="22"/>
        </w:rPr>
        <w:t xml:space="preserve">us </w:t>
      </w:r>
      <w:r>
        <w:rPr>
          <w:sz w:val="22"/>
          <w:szCs w:val="22"/>
        </w:rPr>
        <w:t xml:space="preserve">timing advance value (or uplink timing) </w:t>
      </w:r>
      <w:r w:rsidR="005D34CF">
        <w:rPr>
          <w:sz w:val="22"/>
          <w:szCs w:val="22"/>
        </w:rPr>
        <w:t xml:space="preserve">should </w:t>
      </w:r>
      <w:r>
        <w:rPr>
          <w:sz w:val="22"/>
          <w:szCs w:val="22"/>
        </w:rPr>
        <w:t xml:space="preserve">also </w:t>
      </w:r>
      <w:r w:rsidR="00521DFD">
        <w:rPr>
          <w:sz w:val="22"/>
          <w:szCs w:val="22"/>
        </w:rPr>
        <w:t xml:space="preserve">be </w:t>
      </w:r>
      <w:r>
        <w:rPr>
          <w:sz w:val="22"/>
          <w:szCs w:val="22"/>
        </w:rPr>
        <w:t xml:space="preserve">a </w:t>
      </w:r>
      <w:r w:rsidR="00521DFD">
        <w:rPr>
          <w:sz w:val="22"/>
          <w:szCs w:val="22"/>
        </w:rPr>
        <w:t>consider</w:t>
      </w:r>
      <w:r>
        <w:rPr>
          <w:sz w:val="22"/>
          <w:szCs w:val="22"/>
        </w:rPr>
        <w:t>ation</w:t>
      </w:r>
      <w:r w:rsidR="00521DFD">
        <w:rPr>
          <w:sz w:val="22"/>
          <w:szCs w:val="22"/>
        </w:rPr>
        <w:t xml:space="preserve"> in </w:t>
      </w:r>
      <w:r w:rsidR="00696CF5">
        <w:rPr>
          <w:sz w:val="22"/>
          <w:szCs w:val="22"/>
        </w:rPr>
        <w:t xml:space="preserve">conjunction </w:t>
      </w:r>
      <w:r w:rsidR="00521DFD">
        <w:rPr>
          <w:sz w:val="22"/>
          <w:szCs w:val="22"/>
        </w:rPr>
        <w:t>with payload size</w:t>
      </w:r>
      <w:r w:rsidR="00696CF5">
        <w:rPr>
          <w:sz w:val="22"/>
          <w:szCs w:val="22"/>
        </w:rPr>
        <w:t>/slot</w:t>
      </w:r>
      <w:r w:rsidR="00521DFD">
        <w:rPr>
          <w:sz w:val="22"/>
          <w:szCs w:val="22"/>
        </w:rPr>
        <w:t>, e.g. data rate</w:t>
      </w:r>
      <w:r>
        <w:rPr>
          <w:sz w:val="22"/>
          <w:szCs w:val="22"/>
        </w:rPr>
        <w:t>. In some cases (e.g. at small data rates</w:t>
      </w:r>
      <w:r w:rsidR="0028493A">
        <w:rPr>
          <w:sz w:val="22"/>
          <w:szCs w:val="22"/>
        </w:rPr>
        <w:t>/payloads</w:t>
      </w:r>
      <w:r>
        <w:rPr>
          <w:sz w:val="22"/>
          <w:szCs w:val="22"/>
        </w:rPr>
        <w:t>),</w:t>
      </w:r>
      <w:r w:rsidR="00521DFD">
        <w:rPr>
          <w:sz w:val="22"/>
          <w:szCs w:val="22"/>
        </w:rPr>
        <w:t xml:space="preserve"> the UE may be able to </w:t>
      </w:r>
      <w:r>
        <w:rPr>
          <w:sz w:val="22"/>
          <w:szCs w:val="22"/>
        </w:rPr>
        <w:t>finish decoding much early</w:t>
      </w:r>
      <w:r w:rsidR="00521DFD">
        <w:rPr>
          <w:sz w:val="22"/>
          <w:szCs w:val="22"/>
        </w:rPr>
        <w:t xml:space="preserve"> regardless of TA value, but </w:t>
      </w:r>
      <w:r w:rsidR="0028493A">
        <w:rPr>
          <w:sz w:val="22"/>
          <w:szCs w:val="22"/>
        </w:rPr>
        <w:t xml:space="preserve">if the applied TA is large, </w:t>
      </w:r>
      <w:r>
        <w:rPr>
          <w:sz w:val="22"/>
          <w:szCs w:val="22"/>
        </w:rPr>
        <w:t xml:space="preserve">UE may not be </w:t>
      </w:r>
      <w:r w:rsidR="00521DFD">
        <w:rPr>
          <w:sz w:val="22"/>
          <w:szCs w:val="22"/>
        </w:rPr>
        <w:t xml:space="preserve">able to </w:t>
      </w:r>
      <w:r w:rsidR="0028493A">
        <w:rPr>
          <w:sz w:val="22"/>
          <w:szCs w:val="22"/>
        </w:rPr>
        <w:t>finish decoding for large payload/data rates</w:t>
      </w:r>
      <w:r w:rsidR="00521DFD">
        <w:rPr>
          <w:sz w:val="22"/>
          <w:szCs w:val="22"/>
        </w:rPr>
        <w:t>.</w:t>
      </w:r>
    </w:p>
    <w:p w14:paraId="2F64A88B" w14:textId="77777777" w:rsidR="00FE4021" w:rsidRDefault="00521DFD" w:rsidP="000349E0">
      <w:pPr>
        <w:ind w:firstLine="284"/>
        <w:jc w:val="both"/>
        <w:rPr>
          <w:i/>
          <w:sz w:val="22"/>
          <w:szCs w:val="22"/>
        </w:rPr>
      </w:pPr>
      <w:r w:rsidRPr="00521DFD">
        <w:rPr>
          <w:i/>
          <w:sz w:val="22"/>
          <w:szCs w:val="22"/>
        </w:rPr>
        <w:t>Subcarrier spacing of the transmission</w:t>
      </w:r>
    </w:p>
    <w:p w14:paraId="43A2A7CD" w14:textId="52C70592" w:rsidR="00521DFD" w:rsidRDefault="0028493A" w:rsidP="000349E0">
      <w:pPr>
        <w:ind w:firstLine="284"/>
        <w:jc w:val="both"/>
        <w:rPr>
          <w:sz w:val="22"/>
          <w:szCs w:val="22"/>
        </w:rPr>
      </w:pPr>
      <w:r>
        <w:rPr>
          <w:sz w:val="22"/>
          <w:szCs w:val="22"/>
        </w:rPr>
        <w:t xml:space="preserve">For a </w:t>
      </w:r>
      <w:r w:rsidR="00521DFD">
        <w:rPr>
          <w:sz w:val="22"/>
          <w:szCs w:val="22"/>
        </w:rPr>
        <w:t xml:space="preserve">fixed transmission bandwidth, the processing time </w:t>
      </w:r>
      <w:r>
        <w:rPr>
          <w:sz w:val="22"/>
          <w:szCs w:val="22"/>
        </w:rPr>
        <w:t>can</w:t>
      </w:r>
      <w:r w:rsidR="00521DFD">
        <w:rPr>
          <w:sz w:val="22"/>
          <w:szCs w:val="22"/>
        </w:rPr>
        <w:t xml:space="preserve"> </w:t>
      </w:r>
      <w:r>
        <w:rPr>
          <w:sz w:val="22"/>
          <w:szCs w:val="22"/>
        </w:rPr>
        <w:t xml:space="preserve">(somewhat) </w:t>
      </w:r>
      <w:r w:rsidR="00521DFD">
        <w:rPr>
          <w:sz w:val="22"/>
          <w:szCs w:val="22"/>
        </w:rPr>
        <w:t xml:space="preserve">shrink </w:t>
      </w:r>
      <w:r>
        <w:rPr>
          <w:sz w:val="22"/>
          <w:szCs w:val="22"/>
        </w:rPr>
        <w:t>with increasing</w:t>
      </w:r>
      <w:r w:rsidR="00521DFD">
        <w:rPr>
          <w:sz w:val="22"/>
          <w:szCs w:val="22"/>
        </w:rPr>
        <w:t xml:space="preserve"> subcarrier spacing. This is because the number of subcarriers and the OFDM symbol duration shrinks linearly with increas</w:t>
      </w:r>
      <w:r>
        <w:rPr>
          <w:sz w:val="22"/>
          <w:szCs w:val="22"/>
        </w:rPr>
        <w:t>ing</w:t>
      </w:r>
      <w:r w:rsidR="00521DFD">
        <w:rPr>
          <w:sz w:val="22"/>
          <w:szCs w:val="22"/>
        </w:rPr>
        <w:t xml:space="preserve"> subcarrier spacing. However, the processing time </w:t>
      </w:r>
      <w:r>
        <w:rPr>
          <w:sz w:val="22"/>
          <w:szCs w:val="22"/>
        </w:rPr>
        <w:t xml:space="preserve">for </w:t>
      </w:r>
      <w:r w:rsidR="00521DFD">
        <w:rPr>
          <w:sz w:val="22"/>
          <w:szCs w:val="22"/>
        </w:rPr>
        <w:t xml:space="preserve">all functional blocks of </w:t>
      </w:r>
      <w:r>
        <w:rPr>
          <w:sz w:val="22"/>
          <w:szCs w:val="22"/>
        </w:rPr>
        <w:t xml:space="preserve">a </w:t>
      </w:r>
      <w:r w:rsidR="00521DFD">
        <w:rPr>
          <w:sz w:val="22"/>
          <w:szCs w:val="22"/>
        </w:rPr>
        <w:t>receiver do not linearly decrease with increas</w:t>
      </w:r>
      <w:r>
        <w:rPr>
          <w:sz w:val="22"/>
          <w:szCs w:val="22"/>
        </w:rPr>
        <w:t>ing</w:t>
      </w:r>
      <w:r w:rsidR="00521DFD">
        <w:rPr>
          <w:sz w:val="22"/>
          <w:szCs w:val="22"/>
        </w:rPr>
        <w:t xml:space="preserve"> subcarrier spacing. </w:t>
      </w:r>
      <w:r>
        <w:rPr>
          <w:sz w:val="22"/>
          <w:szCs w:val="22"/>
        </w:rPr>
        <w:t xml:space="preserve">Each </w:t>
      </w:r>
      <w:r w:rsidR="00521DFD">
        <w:rPr>
          <w:sz w:val="22"/>
          <w:szCs w:val="22"/>
        </w:rPr>
        <w:t xml:space="preserve">function </w:t>
      </w:r>
      <w:r>
        <w:rPr>
          <w:sz w:val="22"/>
          <w:szCs w:val="22"/>
        </w:rPr>
        <w:t xml:space="preserve"> may behave differently for different subcarrier spacing configurations</w:t>
      </w:r>
      <w:r w:rsidR="00521DFD">
        <w:rPr>
          <w:sz w:val="22"/>
          <w:szCs w:val="22"/>
        </w:rPr>
        <w:t xml:space="preserve">, </w:t>
      </w:r>
      <w:r w:rsidR="009E3A4E">
        <w:rPr>
          <w:sz w:val="22"/>
          <w:szCs w:val="22"/>
        </w:rPr>
        <w:t xml:space="preserve">e.g. </w:t>
      </w:r>
      <w:r w:rsidR="00521DFD">
        <w:rPr>
          <w:sz w:val="22"/>
          <w:szCs w:val="22"/>
        </w:rPr>
        <w:t xml:space="preserve">FFT, channel estimation, equalization, de-modulation, decoding, </w:t>
      </w:r>
      <w:r w:rsidR="00F96662">
        <w:rPr>
          <w:sz w:val="22"/>
          <w:szCs w:val="22"/>
        </w:rPr>
        <w:t>bit</w:t>
      </w:r>
      <w:r w:rsidR="00521DFD">
        <w:rPr>
          <w:sz w:val="22"/>
          <w:szCs w:val="22"/>
        </w:rPr>
        <w:t xml:space="preserve"> segmentation and concatenation, bit parsing (in the upper layers), signal generation (for HARQ-ACK), and etc.  </w:t>
      </w:r>
    </w:p>
    <w:p w14:paraId="1362ED7C" w14:textId="382D80B7" w:rsidR="009E3A4E" w:rsidRPr="009C6263" w:rsidRDefault="009E3A4E" w:rsidP="000349E0">
      <w:pPr>
        <w:ind w:firstLine="284"/>
        <w:jc w:val="both"/>
        <w:rPr>
          <w:i/>
          <w:sz w:val="22"/>
          <w:szCs w:val="22"/>
        </w:rPr>
      </w:pPr>
      <w:r w:rsidRPr="009C6263">
        <w:rPr>
          <w:i/>
          <w:sz w:val="22"/>
          <w:szCs w:val="22"/>
        </w:rPr>
        <w:t>PDCCH</w:t>
      </w:r>
      <w:r w:rsidR="0028493A">
        <w:rPr>
          <w:i/>
          <w:sz w:val="22"/>
          <w:szCs w:val="22"/>
        </w:rPr>
        <w:t xml:space="preserve"> Decoding time</w:t>
      </w:r>
    </w:p>
    <w:p w14:paraId="0FDCFC1C" w14:textId="49494B60" w:rsidR="0028493A" w:rsidRDefault="0028493A">
      <w:pPr>
        <w:ind w:firstLine="284"/>
        <w:jc w:val="both"/>
        <w:rPr>
          <w:sz w:val="22"/>
          <w:szCs w:val="22"/>
        </w:rPr>
      </w:pPr>
      <w:r>
        <w:rPr>
          <w:sz w:val="22"/>
          <w:szCs w:val="22"/>
        </w:rPr>
        <w:t>Typically, PDCCH contains the scheduling information for a PDSCH transmission, and hence the decoding time for PDCCH can lengthen/compress the processing time available for PDSCH decoding at the receiver. Thus, PDCCH decoding time an important factor affecting</w:t>
      </w:r>
      <w:r w:rsidR="00427FDC">
        <w:rPr>
          <w:sz w:val="22"/>
          <w:szCs w:val="22"/>
        </w:rPr>
        <w:t xml:space="preserve"> overall processing of the PDSCH. For example, if the UE is required to perform many </w:t>
      </w:r>
      <w:r>
        <w:rPr>
          <w:sz w:val="22"/>
          <w:szCs w:val="22"/>
        </w:rPr>
        <w:t xml:space="preserve">PDCCH </w:t>
      </w:r>
      <w:r w:rsidR="00427FDC">
        <w:rPr>
          <w:sz w:val="22"/>
          <w:szCs w:val="22"/>
        </w:rPr>
        <w:t>blind decode attempts</w:t>
      </w:r>
      <w:r>
        <w:rPr>
          <w:sz w:val="22"/>
          <w:szCs w:val="22"/>
        </w:rPr>
        <w:t xml:space="preserve">, it can increase PDCCH decoding time and in turn reducing time budget available for remaining PDSCH decode operations, e.g. </w:t>
      </w:r>
      <w:r w:rsidR="00427FDC">
        <w:rPr>
          <w:sz w:val="22"/>
          <w:szCs w:val="22"/>
        </w:rPr>
        <w:t>channel estimation</w:t>
      </w:r>
      <w:r>
        <w:rPr>
          <w:sz w:val="22"/>
          <w:szCs w:val="22"/>
        </w:rPr>
        <w:t xml:space="preserve">, </w:t>
      </w:r>
      <w:r w:rsidR="00427FDC">
        <w:rPr>
          <w:sz w:val="22"/>
          <w:szCs w:val="22"/>
        </w:rPr>
        <w:t>equalization</w:t>
      </w:r>
      <w:r>
        <w:rPr>
          <w:sz w:val="22"/>
          <w:szCs w:val="22"/>
        </w:rPr>
        <w:t>, etc</w:t>
      </w:r>
      <w:r w:rsidR="00427FDC">
        <w:rPr>
          <w:sz w:val="22"/>
          <w:szCs w:val="22"/>
        </w:rPr>
        <w:t>.</w:t>
      </w:r>
      <w:r>
        <w:rPr>
          <w:sz w:val="22"/>
          <w:szCs w:val="22"/>
        </w:rPr>
        <w:t xml:space="preserve"> While the PDCCH decoding latency can be reduced adding more hardware (e.g. PDCCH decoding engines</w:t>
      </w:r>
      <w:r w:rsidR="00906E27">
        <w:rPr>
          <w:sz w:val="22"/>
          <w:szCs w:val="22"/>
        </w:rPr>
        <w:t xml:space="preserve"> or list Polar decoder engines</w:t>
      </w:r>
      <w:r>
        <w:rPr>
          <w:sz w:val="22"/>
          <w:szCs w:val="22"/>
        </w:rPr>
        <w:t xml:space="preserve">) to parallel process multiple blind decodes, </w:t>
      </w:r>
      <w:r w:rsidR="00427FDC">
        <w:rPr>
          <w:sz w:val="22"/>
          <w:szCs w:val="22"/>
        </w:rPr>
        <w:t xml:space="preserve"> </w:t>
      </w:r>
      <w:r w:rsidR="00906E27">
        <w:rPr>
          <w:sz w:val="22"/>
          <w:szCs w:val="22"/>
        </w:rPr>
        <w:t>it is desirable to provide (via spec) a tradeoff between complexity/timing, etc, e.g by limiting number of blind decodes as described below.</w:t>
      </w:r>
    </w:p>
    <w:p w14:paraId="10872279" w14:textId="77777777" w:rsidR="0028493A" w:rsidRDefault="0028493A">
      <w:pPr>
        <w:ind w:firstLine="284"/>
        <w:jc w:val="both"/>
        <w:rPr>
          <w:sz w:val="22"/>
          <w:szCs w:val="22"/>
        </w:rPr>
      </w:pPr>
    </w:p>
    <w:p w14:paraId="0273C729" w14:textId="0DB0459A" w:rsidR="00711826" w:rsidRDefault="00876603">
      <w:pPr>
        <w:ind w:firstLine="284"/>
        <w:jc w:val="both"/>
        <w:rPr>
          <w:sz w:val="22"/>
          <w:szCs w:val="22"/>
        </w:rPr>
      </w:pPr>
      <w:r>
        <w:rPr>
          <w:sz w:val="22"/>
          <w:szCs w:val="22"/>
        </w:rPr>
        <w:lastRenderedPageBreak/>
        <w:t>To meet certain HARQ processing time requirements, such as K1 (slots between PDSCH and PUCCH containing HARQ-ACK feedback) = 0, number of PDCCH blind decoding attempts</w:t>
      </w:r>
      <w:r w:rsidR="00906E27">
        <w:rPr>
          <w:sz w:val="22"/>
          <w:szCs w:val="22"/>
        </w:rPr>
        <w:t xml:space="preserve"> could be reduced</w:t>
      </w:r>
      <w:r>
        <w:rPr>
          <w:sz w:val="22"/>
          <w:szCs w:val="22"/>
        </w:rPr>
        <w:t>. Further study would be required once the downlink control channel design is matured to analyze whether any special restriction is needed to meet certain HARQ processing time requirements.</w:t>
      </w:r>
    </w:p>
    <w:p w14:paraId="1742EBA6" w14:textId="24735F1B" w:rsidR="00C318EA" w:rsidRDefault="00F96662" w:rsidP="000349E0">
      <w:pPr>
        <w:ind w:firstLine="284"/>
        <w:jc w:val="both"/>
        <w:rPr>
          <w:sz w:val="22"/>
          <w:szCs w:val="22"/>
        </w:rPr>
      </w:pPr>
      <w:r>
        <w:rPr>
          <w:sz w:val="22"/>
          <w:szCs w:val="22"/>
        </w:rPr>
        <w:t xml:space="preserve">Given that the </w:t>
      </w:r>
      <w:r w:rsidR="00876603">
        <w:rPr>
          <w:sz w:val="22"/>
          <w:szCs w:val="22"/>
        </w:rPr>
        <w:t xml:space="preserve">downlink control channel design, </w:t>
      </w:r>
      <w:r>
        <w:rPr>
          <w:sz w:val="22"/>
          <w:szCs w:val="22"/>
        </w:rPr>
        <w:t>channel coding</w:t>
      </w:r>
      <w:r w:rsidR="00696CF5">
        <w:rPr>
          <w:sz w:val="22"/>
          <w:szCs w:val="22"/>
        </w:rPr>
        <w:t>, physical channel mapping, RS structure</w:t>
      </w:r>
      <w:r>
        <w:rPr>
          <w:sz w:val="22"/>
          <w:szCs w:val="22"/>
        </w:rPr>
        <w:t xml:space="preserve"> and HARQ-ACK feedback structure is still not </w:t>
      </w:r>
      <w:r w:rsidR="00696CF5">
        <w:rPr>
          <w:sz w:val="22"/>
          <w:szCs w:val="22"/>
        </w:rPr>
        <w:t xml:space="preserve">finalized </w:t>
      </w:r>
      <w:r>
        <w:rPr>
          <w:sz w:val="22"/>
          <w:szCs w:val="22"/>
        </w:rPr>
        <w:t>yet, exact impact of HARQ processing time for each of the discussed factors</w:t>
      </w:r>
      <w:r w:rsidR="00696CF5">
        <w:rPr>
          <w:sz w:val="22"/>
          <w:szCs w:val="22"/>
        </w:rPr>
        <w:t xml:space="preserve"> may </w:t>
      </w:r>
      <w:r w:rsidR="00876603">
        <w:rPr>
          <w:sz w:val="22"/>
          <w:szCs w:val="22"/>
        </w:rPr>
        <w:t xml:space="preserve">currently </w:t>
      </w:r>
      <w:r w:rsidR="00696CF5">
        <w:rPr>
          <w:sz w:val="22"/>
          <w:szCs w:val="22"/>
        </w:rPr>
        <w:t>be unavailable</w:t>
      </w:r>
      <w:r>
        <w:rPr>
          <w:sz w:val="22"/>
          <w:szCs w:val="22"/>
        </w:rPr>
        <w:t xml:space="preserve">. However, we expect the HARQ processing time will be impacted with some degree depending on the </w:t>
      </w:r>
      <w:r w:rsidR="00876603">
        <w:rPr>
          <w:sz w:val="22"/>
          <w:szCs w:val="22"/>
        </w:rPr>
        <w:t xml:space="preserve">downlink control channel design, </w:t>
      </w:r>
      <w:r>
        <w:rPr>
          <w:sz w:val="22"/>
          <w:szCs w:val="22"/>
        </w:rPr>
        <w:t xml:space="preserve">data rate, </w:t>
      </w:r>
      <w:r w:rsidR="00876603">
        <w:rPr>
          <w:sz w:val="22"/>
          <w:szCs w:val="22"/>
        </w:rPr>
        <w:t xml:space="preserve">TTI configured for transmission, transmission bandwidth, </w:t>
      </w:r>
      <w:r>
        <w:rPr>
          <w:sz w:val="22"/>
          <w:szCs w:val="22"/>
        </w:rPr>
        <w:t xml:space="preserve">configured TA, and subcarrier spacing of the transmission. </w:t>
      </w:r>
    </w:p>
    <w:p w14:paraId="345301B4" w14:textId="7914675F" w:rsidR="00C318EA" w:rsidRPr="00F96662" w:rsidRDefault="00F96662" w:rsidP="000349E0">
      <w:pPr>
        <w:ind w:firstLine="284"/>
        <w:jc w:val="both"/>
        <w:rPr>
          <w:sz w:val="22"/>
          <w:szCs w:val="22"/>
        </w:rPr>
      </w:pPr>
      <w:r>
        <w:rPr>
          <w:sz w:val="22"/>
          <w:szCs w:val="22"/>
        </w:rPr>
        <w:t>Therefore, we would like RAN1 to further consider investigation of impact and relationship of HARQ processing time with data rate, TA, and subcarrier spacing, and how this will change UE capability signaling.</w:t>
      </w:r>
      <w:r w:rsidR="00C318EA">
        <w:rPr>
          <w:sz w:val="22"/>
          <w:szCs w:val="22"/>
        </w:rPr>
        <w:t xml:space="preserve"> It should be noted that </w:t>
      </w:r>
      <w:r w:rsidR="00906E27">
        <w:rPr>
          <w:sz w:val="22"/>
          <w:szCs w:val="22"/>
        </w:rPr>
        <w:t xml:space="preserve">not all factors discussed above would necessarily be included in </w:t>
      </w:r>
      <w:r w:rsidR="00C318EA">
        <w:rPr>
          <w:sz w:val="22"/>
          <w:szCs w:val="22"/>
        </w:rPr>
        <w:t xml:space="preserve">UE capability signaling </w:t>
      </w:r>
      <w:r w:rsidR="00906E27">
        <w:rPr>
          <w:sz w:val="22"/>
          <w:szCs w:val="22"/>
        </w:rPr>
        <w:t>as that would be</w:t>
      </w:r>
      <w:r w:rsidR="00C318EA">
        <w:rPr>
          <w:sz w:val="22"/>
          <w:szCs w:val="22"/>
        </w:rPr>
        <w:t xml:space="preserve"> subject to further investigation. </w:t>
      </w:r>
    </w:p>
    <w:p w14:paraId="4F648F53" w14:textId="77777777" w:rsidR="000349E0" w:rsidRDefault="000349E0" w:rsidP="000349E0">
      <w:pPr>
        <w:ind w:firstLine="284"/>
        <w:jc w:val="both"/>
        <w:rPr>
          <w:b/>
          <w:i/>
          <w:sz w:val="22"/>
          <w:szCs w:val="22"/>
        </w:rPr>
      </w:pPr>
      <w:r>
        <w:rPr>
          <w:b/>
          <w:i/>
          <w:sz w:val="22"/>
          <w:szCs w:val="22"/>
        </w:rPr>
        <w:t>Proposal:</w:t>
      </w:r>
    </w:p>
    <w:p w14:paraId="5FDB36C5" w14:textId="76188343" w:rsidR="000349E0" w:rsidRDefault="00A27228" w:rsidP="00876603">
      <w:pPr>
        <w:numPr>
          <w:ilvl w:val="0"/>
          <w:numId w:val="22"/>
        </w:numPr>
        <w:jc w:val="both"/>
        <w:textAlignment w:val="auto"/>
        <w:rPr>
          <w:i/>
          <w:sz w:val="22"/>
          <w:szCs w:val="22"/>
        </w:rPr>
      </w:pPr>
      <w:r>
        <w:rPr>
          <w:i/>
          <w:sz w:val="22"/>
          <w:szCs w:val="22"/>
        </w:rPr>
        <w:t xml:space="preserve">NR should consider </w:t>
      </w:r>
      <w:r w:rsidR="00F96662">
        <w:rPr>
          <w:i/>
          <w:sz w:val="22"/>
          <w:szCs w:val="22"/>
        </w:rPr>
        <w:t xml:space="preserve">impact of </w:t>
      </w:r>
      <w:r w:rsidR="00876603" w:rsidRPr="00876603">
        <w:rPr>
          <w:i/>
          <w:sz w:val="22"/>
          <w:szCs w:val="22"/>
        </w:rPr>
        <w:t xml:space="preserve">downlink control channel design, data rate, TTI configured for transmission, transmission bandwidth, configured TA, and subcarrier spacing </w:t>
      </w:r>
      <w:r w:rsidR="00C318EA">
        <w:rPr>
          <w:i/>
          <w:sz w:val="22"/>
          <w:szCs w:val="22"/>
        </w:rPr>
        <w:t xml:space="preserve">to the </w:t>
      </w:r>
      <w:r w:rsidR="00F96662">
        <w:rPr>
          <w:i/>
          <w:sz w:val="22"/>
          <w:szCs w:val="22"/>
        </w:rPr>
        <w:t xml:space="preserve">required HARQ processing time and </w:t>
      </w:r>
      <w:r w:rsidR="00C318EA">
        <w:rPr>
          <w:i/>
          <w:sz w:val="22"/>
          <w:szCs w:val="22"/>
        </w:rPr>
        <w:t xml:space="preserve">the </w:t>
      </w:r>
      <w:r w:rsidR="00F96662">
        <w:rPr>
          <w:i/>
          <w:sz w:val="22"/>
          <w:szCs w:val="22"/>
        </w:rPr>
        <w:t>UE capability signaling.</w:t>
      </w:r>
    </w:p>
    <w:p w14:paraId="77D118AD" w14:textId="77777777" w:rsidR="00422E82" w:rsidRPr="00422E82" w:rsidRDefault="00422E82" w:rsidP="00F01AFA">
      <w:pPr>
        <w:jc w:val="both"/>
        <w:textAlignment w:val="auto"/>
        <w:rPr>
          <w:sz w:val="22"/>
          <w:szCs w:val="22"/>
        </w:rPr>
      </w:pPr>
    </w:p>
    <w:p w14:paraId="2BACA161" w14:textId="486DEF1F" w:rsidR="009A60DD" w:rsidRPr="000349E0" w:rsidRDefault="009A60DD" w:rsidP="00F62F84">
      <w:pPr>
        <w:pStyle w:val="Heading1"/>
        <w:numPr>
          <w:ilvl w:val="0"/>
          <w:numId w:val="27"/>
        </w:numPr>
        <w:ind w:left="360"/>
        <w:textAlignment w:val="auto"/>
        <w:rPr>
          <w:sz w:val="32"/>
        </w:rPr>
      </w:pPr>
      <w:r w:rsidRPr="000349E0">
        <w:rPr>
          <w:sz w:val="32"/>
        </w:rPr>
        <w:t>Discussion</w:t>
      </w:r>
      <w:r>
        <w:rPr>
          <w:sz w:val="32"/>
        </w:rPr>
        <w:t xml:space="preserve"> on Number of HARQ Process</w:t>
      </w:r>
      <w:r w:rsidR="00696CF5">
        <w:rPr>
          <w:sz w:val="32"/>
        </w:rPr>
        <w:t>es and HARQ buffers</w:t>
      </w:r>
    </w:p>
    <w:p w14:paraId="47A2B663" w14:textId="2570A4D7" w:rsidR="00906E27" w:rsidRDefault="00696CF5" w:rsidP="009C6263">
      <w:pPr>
        <w:ind w:firstLine="284"/>
        <w:jc w:val="both"/>
        <w:rPr>
          <w:sz w:val="22"/>
          <w:szCs w:val="22"/>
        </w:rPr>
      </w:pPr>
      <w:r>
        <w:rPr>
          <w:sz w:val="22"/>
          <w:szCs w:val="22"/>
        </w:rPr>
        <w:t>Typically, the number of HARQ processes are determined</w:t>
      </w:r>
      <w:r w:rsidR="00A664C3">
        <w:rPr>
          <w:sz w:val="22"/>
          <w:szCs w:val="22"/>
        </w:rPr>
        <w:t xml:space="preserve"> such that the UE </w:t>
      </w:r>
      <w:r>
        <w:rPr>
          <w:sz w:val="22"/>
          <w:szCs w:val="22"/>
        </w:rPr>
        <w:t xml:space="preserve">pipe </w:t>
      </w:r>
      <w:r w:rsidR="00A664C3">
        <w:rPr>
          <w:sz w:val="22"/>
          <w:szCs w:val="22"/>
        </w:rPr>
        <w:t>can be</w:t>
      </w:r>
      <w:r>
        <w:rPr>
          <w:sz w:val="22"/>
          <w:szCs w:val="22"/>
        </w:rPr>
        <w:t xml:space="preserve"> kept full </w:t>
      </w:r>
      <w:r w:rsidR="00A664C3">
        <w:rPr>
          <w:sz w:val="22"/>
          <w:szCs w:val="22"/>
        </w:rPr>
        <w:t xml:space="preserve">while each process is waiting for HARQ feedback in the SAW protocol. In TDD systems especially, this can lead to increased number of HARQ processes for various reasons, including limited uplink feedback occasions, gNB scheduling freedom, UE processing time, etc. While increased number of HARQ processes can lead to increased control overhead (e.g. increased payload on DCI and uplink control feedback), its impact on HARQ buffer at the UE side can be ameliorated using soft buffer management techniques. </w:t>
      </w:r>
      <w:r w:rsidR="00906E27">
        <w:rPr>
          <w:sz w:val="22"/>
          <w:szCs w:val="22"/>
        </w:rPr>
        <w:t>A</w:t>
      </w:r>
      <w:r w:rsidR="00A664C3">
        <w:rPr>
          <w:sz w:val="22"/>
          <w:szCs w:val="22"/>
        </w:rPr>
        <w:t>s a baseline,</w:t>
      </w:r>
      <w:r w:rsidR="00906E27">
        <w:rPr>
          <w:sz w:val="22"/>
          <w:szCs w:val="22"/>
        </w:rPr>
        <w:t xml:space="preserve"> for NR,</w:t>
      </w:r>
      <w:r w:rsidR="00A664C3">
        <w:rPr>
          <w:sz w:val="22"/>
          <w:szCs w:val="22"/>
        </w:rPr>
        <w:t xml:space="preserve"> we think it would be good target similar number of HARQ processes as LTE as a starting point for NR.</w:t>
      </w:r>
      <w:r w:rsidR="001144C7">
        <w:rPr>
          <w:sz w:val="22"/>
          <w:szCs w:val="22"/>
        </w:rPr>
        <w:t xml:space="preserve"> </w:t>
      </w:r>
      <w:r w:rsidR="00A664C3" w:rsidRPr="001144C7">
        <w:rPr>
          <w:sz w:val="22"/>
          <w:szCs w:val="22"/>
        </w:rPr>
        <w:t>A smaller number of HARQ processes can be arranged to the UE depending on UE capability and the HARQ feedback timeline n+k configured to the UE; e.g., 8 or larger in case k is dynamically controlled by the scheduler.</w:t>
      </w:r>
      <w:r w:rsidR="00876603">
        <w:rPr>
          <w:sz w:val="22"/>
          <w:szCs w:val="22"/>
        </w:rPr>
        <w:t xml:space="preserve"> </w:t>
      </w:r>
    </w:p>
    <w:p w14:paraId="48C82008" w14:textId="52E51555" w:rsidR="00A664C3" w:rsidRDefault="00906E27" w:rsidP="009C6263">
      <w:pPr>
        <w:ind w:firstLine="284"/>
        <w:jc w:val="both"/>
        <w:rPr>
          <w:sz w:val="22"/>
          <w:szCs w:val="22"/>
        </w:rPr>
      </w:pPr>
      <w:r>
        <w:rPr>
          <w:sz w:val="22"/>
          <w:szCs w:val="22"/>
        </w:rPr>
        <w:t>T</w:t>
      </w:r>
      <w:r w:rsidR="00876603">
        <w:rPr>
          <w:sz w:val="22"/>
          <w:szCs w:val="22"/>
        </w:rPr>
        <w:t xml:space="preserve">he </w:t>
      </w:r>
      <w:r>
        <w:rPr>
          <w:sz w:val="22"/>
          <w:szCs w:val="22"/>
        </w:rPr>
        <w:t xml:space="preserve">maximum </w:t>
      </w:r>
      <w:r w:rsidR="00876603">
        <w:rPr>
          <w:sz w:val="22"/>
          <w:szCs w:val="22"/>
        </w:rPr>
        <w:t>number of HARQ process</w:t>
      </w:r>
      <w:r>
        <w:rPr>
          <w:sz w:val="22"/>
          <w:szCs w:val="22"/>
        </w:rPr>
        <w:t>es</w:t>
      </w:r>
      <w:r w:rsidR="00876603">
        <w:rPr>
          <w:sz w:val="22"/>
          <w:szCs w:val="22"/>
        </w:rPr>
        <w:t xml:space="preserve"> does not necessar</w:t>
      </w:r>
      <w:r>
        <w:rPr>
          <w:sz w:val="22"/>
          <w:szCs w:val="22"/>
        </w:rPr>
        <w:t>ily</w:t>
      </w:r>
      <w:r w:rsidR="00876603">
        <w:rPr>
          <w:sz w:val="22"/>
          <w:szCs w:val="22"/>
        </w:rPr>
        <w:t xml:space="preserve"> mandate </w:t>
      </w:r>
      <w:r>
        <w:rPr>
          <w:sz w:val="22"/>
          <w:szCs w:val="22"/>
        </w:rPr>
        <w:t xml:space="preserve">a </w:t>
      </w:r>
      <w:r w:rsidR="00876603">
        <w:rPr>
          <w:sz w:val="22"/>
          <w:szCs w:val="22"/>
        </w:rPr>
        <w:t xml:space="preserve">certain </w:t>
      </w:r>
      <w:r>
        <w:rPr>
          <w:sz w:val="22"/>
          <w:szCs w:val="22"/>
        </w:rPr>
        <w:t>UE soft buffer requirement dependent on that number i.e. the UE soft buffer requirement may not linearly increase with the number of HARQ processes</w:t>
      </w:r>
      <w:r w:rsidR="00876603">
        <w:rPr>
          <w:sz w:val="22"/>
          <w:szCs w:val="22"/>
        </w:rPr>
        <w:t xml:space="preserve">. For scheduling flexibility, the system may </w:t>
      </w:r>
      <w:r>
        <w:rPr>
          <w:sz w:val="22"/>
          <w:szCs w:val="22"/>
        </w:rPr>
        <w:t>operate</w:t>
      </w:r>
      <w:r w:rsidR="00876603">
        <w:rPr>
          <w:sz w:val="22"/>
          <w:szCs w:val="22"/>
        </w:rPr>
        <w:t xml:space="preserve"> </w:t>
      </w:r>
      <w:r>
        <w:rPr>
          <w:sz w:val="22"/>
          <w:szCs w:val="22"/>
        </w:rPr>
        <w:t xml:space="preserve">with </w:t>
      </w:r>
      <w:r w:rsidR="00876603">
        <w:rPr>
          <w:sz w:val="22"/>
          <w:szCs w:val="22"/>
        </w:rPr>
        <w:t xml:space="preserve">more addressable HARQ processes than what the UE can </w:t>
      </w:r>
      <w:r>
        <w:rPr>
          <w:sz w:val="22"/>
          <w:szCs w:val="22"/>
        </w:rPr>
        <w:t xml:space="preserve">fully </w:t>
      </w:r>
      <w:r w:rsidR="00876603">
        <w:rPr>
          <w:sz w:val="22"/>
          <w:szCs w:val="22"/>
        </w:rPr>
        <w:t xml:space="preserve">store in its </w:t>
      </w:r>
      <w:r>
        <w:rPr>
          <w:sz w:val="22"/>
          <w:szCs w:val="22"/>
        </w:rPr>
        <w:t>HARQ buffer.</w:t>
      </w:r>
    </w:p>
    <w:p w14:paraId="4F040FD0" w14:textId="009C1E9B" w:rsidR="00876603" w:rsidRPr="009C6263" w:rsidRDefault="00876603" w:rsidP="009C6263">
      <w:pPr>
        <w:ind w:firstLine="284"/>
        <w:jc w:val="both"/>
        <w:rPr>
          <w:b/>
          <w:i/>
          <w:sz w:val="22"/>
          <w:szCs w:val="22"/>
        </w:rPr>
      </w:pPr>
      <w:r w:rsidRPr="009C6263">
        <w:rPr>
          <w:b/>
          <w:i/>
          <w:sz w:val="22"/>
          <w:szCs w:val="22"/>
        </w:rPr>
        <w:t>Proposal:</w:t>
      </w:r>
    </w:p>
    <w:p w14:paraId="69F78503" w14:textId="4124850E" w:rsidR="00876603" w:rsidRDefault="00876603" w:rsidP="00876603">
      <w:pPr>
        <w:numPr>
          <w:ilvl w:val="0"/>
          <w:numId w:val="22"/>
        </w:numPr>
        <w:jc w:val="both"/>
        <w:textAlignment w:val="auto"/>
        <w:rPr>
          <w:i/>
          <w:sz w:val="22"/>
          <w:szCs w:val="22"/>
        </w:rPr>
      </w:pPr>
      <w:r>
        <w:rPr>
          <w:i/>
          <w:sz w:val="22"/>
          <w:szCs w:val="22"/>
        </w:rPr>
        <w:t xml:space="preserve">Support configuration of </w:t>
      </w:r>
      <w:r w:rsidR="00FF7850">
        <w:rPr>
          <w:i/>
          <w:sz w:val="22"/>
          <w:szCs w:val="22"/>
        </w:rPr>
        <w:t xml:space="preserve">at least </w:t>
      </w:r>
      <w:r>
        <w:rPr>
          <w:i/>
          <w:sz w:val="22"/>
          <w:szCs w:val="22"/>
        </w:rPr>
        <w:t xml:space="preserve">8 (for FDD) and 16 (for TDD) </w:t>
      </w:r>
      <w:r w:rsidR="00FF7850">
        <w:rPr>
          <w:i/>
          <w:sz w:val="22"/>
          <w:szCs w:val="22"/>
        </w:rPr>
        <w:t xml:space="preserve">addressable </w:t>
      </w:r>
      <w:r>
        <w:rPr>
          <w:i/>
          <w:sz w:val="22"/>
          <w:szCs w:val="22"/>
        </w:rPr>
        <w:t>HARQ process numbers.</w:t>
      </w:r>
      <w:r w:rsidR="00FF7850">
        <w:rPr>
          <w:i/>
          <w:sz w:val="22"/>
          <w:szCs w:val="22"/>
        </w:rPr>
        <w:t xml:space="preserve"> This does not directly imply that the number of soft bits required by the UE is provisioned based on 8 and 16 HARQ processes.</w:t>
      </w:r>
      <w:r>
        <w:rPr>
          <w:i/>
          <w:sz w:val="22"/>
          <w:szCs w:val="22"/>
        </w:rPr>
        <w:t xml:space="preserve"> </w:t>
      </w:r>
    </w:p>
    <w:p w14:paraId="58A244D8" w14:textId="77777777" w:rsidR="00FF7850" w:rsidRDefault="00FF7850" w:rsidP="009C6263">
      <w:pPr>
        <w:ind w:firstLine="284"/>
        <w:jc w:val="both"/>
        <w:rPr>
          <w:sz w:val="22"/>
          <w:szCs w:val="22"/>
        </w:rPr>
      </w:pPr>
    </w:p>
    <w:p w14:paraId="18B7DBE2" w14:textId="209AFB9F" w:rsidR="00F54D20" w:rsidRDefault="00F54D20" w:rsidP="009C6263">
      <w:pPr>
        <w:ind w:firstLine="284"/>
        <w:jc w:val="both"/>
        <w:rPr>
          <w:sz w:val="22"/>
          <w:szCs w:val="22"/>
        </w:rPr>
      </w:pPr>
      <w:r>
        <w:rPr>
          <w:sz w:val="22"/>
          <w:szCs w:val="22"/>
        </w:rPr>
        <w:t>HARQ buffers are only needed when the UE needs to perform combining of the multiple received transmissions to improve decoding performance. When the system i</w:t>
      </w:r>
      <w:r w:rsidR="00696CF5">
        <w:rPr>
          <w:sz w:val="22"/>
          <w:szCs w:val="22"/>
        </w:rPr>
        <w:t>s</w:t>
      </w:r>
      <w:r>
        <w:rPr>
          <w:sz w:val="22"/>
          <w:szCs w:val="22"/>
        </w:rPr>
        <w:t xml:space="preserve"> operating with appropriate target BLER and link adaptation techniques, the HARQ buffer </w:t>
      </w:r>
      <w:r w:rsidR="00696CF5">
        <w:rPr>
          <w:sz w:val="22"/>
          <w:szCs w:val="22"/>
        </w:rPr>
        <w:t xml:space="preserve">may not be fully occupied </w:t>
      </w:r>
      <w:r>
        <w:rPr>
          <w:sz w:val="22"/>
          <w:szCs w:val="22"/>
        </w:rPr>
        <w:t xml:space="preserve">at the UE. For efficient use of HARQ buffers at the UE, pooling the HARQ buffers among all component carriers (in carrier aggregation) may </w:t>
      </w:r>
      <w:r w:rsidR="00696CF5">
        <w:rPr>
          <w:sz w:val="22"/>
          <w:szCs w:val="22"/>
        </w:rPr>
        <w:t>simplify</w:t>
      </w:r>
      <w:r>
        <w:rPr>
          <w:sz w:val="22"/>
          <w:szCs w:val="22"/>
        </w:rPr>
        <w:t xml:space="preserve"> </w:t>
      </w:r>
      <w:r w:rsidR="00696CF5">
        <w:rPr>
          <w:sz w:val="22"/>
          <w:szCs w:val="22"/>
        </w:rPr>
        <w:t xml:space="preserve">the </w:t>
      </w:r>
      <w:r>
        <w:rPr>
          <w:sz w:val="22"/>
          <w:szCs w:val="22"/>
        </w:rPr>
        <w:t xml:space="preserve">problems faced in standardizing HARQ memory split in LTE CA. </w:t>
      </w:r>
      <w:r w:rsidR="00570B1F">
        <w:rPr>
          <w:sz w:val="22"/>
          <w:szCs w:val="22"/>
        </w:rPr>
        <w:t xml:space="preserve">This would also allow the network to cope with varying loads </w:t>
      </w:r>
      <w:r w:rsidR="00570B1F">
        <w:rPr>
          <w:sz w:val="22"/>
          <w:szCs w:val="22"/>
        </w:rPr>
        <w:lastRenderedPageBreak/>
        <w:t>of component carrier and allow flexible utilization of resources by shifting HARQ resources of one UE from one component carrier to another dynamically.</w:t>
      </w:r>
      <w:r w:rsidR="00696CF5">
        <w:rPr>
          <w:sz w:val="22"/>
          <w:szCs w:val="22"/>
        </w:rPr>
        <w:t xml:space="preserve"> Providing flexibility on the UE side to manage its HARQ buffer efficiently can lead to simplified and scalable design rather than specifying hard buffer splits that can complicate UE implementations. </w:t>
      </w:r>
      <w:r w:rsidR="001144C7">
        <w:rPr>
          <w:sz w:val="22"/>
          <w:szCs w:val="22"/>
        </w:rPr>
        <w:t xml:space="preserve">As such, overbooking techniques should not be precluded. </w:t>
      </w:r>
    </w:p>
    <w:p w14:paraId="76136E5C" w14:textId="3970364C" w:rsidR="00011749" w:rsidRDefault="00011749">
      <w:pPr>
        <w:ind w:firstLine="284"/>
        <w:jc w:val="both"/>
        <w:rPr>
          <w:sz w:val="22"/>
          <w:szCs w:val="22"/>
        </w:rPr>
      </w:pPr>
      <w:r>
        <w:rPr>
          <w:sz w:val="22"/>
          <w:szCs w:val="22"/>
        </w:rPr>
        <w:t xml:space="preserve">As soft buffer memory management should be left to UE implementation, the network may require some information from the UE that would allow the network to intelligently </w:t>
      </w:r>
      <w:r w:rsidR="003E45FC">
        <w:rPr>
          <w:sz w:val="22"/>
          <w:szCs w:val="22"/>
        </w:rPr>
        <w:t>determine scheduling decisions, e.g. transmission timing, HARQ-ACK timing, redundancy version, etc. For this purpose, we should investigate further into UE reporting of HARQ buffer loading status or similar information.</w:t>
      </w:r>
    </w:p>
    <w:p w14:paraId="71BDE75A" w14:textId="77777777" w:rsidR="00BE3660" w:rsidRDefault="00BE3660" w:rsidP="00BE3660">
      <w:pPr>
        <w:ind w:firstLine="284"/>
        <w:jc w:val="both"/>
        <w:rPr>
          <w:b/>
          <w:i/>
          <w:sz w:val="22"/>
          <w:szCs w:val="22"/>
        </w:rPr>
      </w:pPr>
      <w:r>
        <w:rPr>
          <w:b/>
          <w:i/>
          <w:sz w:val="22"/>
          <w:szCs w:val="22"/>
        </w:rPr>
        <w:t>Proposal:</w:t>
      </w:r>
    </w:p>
    <w:p w14:paraId="1D614C54" w14:textId="2FA4C1DF" w:rsidR="00DA4A73" w:rsidRDefault="00BE3660" w:rsidP="002B5BBB">
      <w:pPr>
        <w:numPr>
          <w:ilvl w:val="0"/>
          <w:numId w:val="22"/>
        </w:numPr>
        <w:jc w:val="both"/>
        <w:textAlignment w:val="auto"/>
        <w:rPr>
          <w:i/>
          <w:sz w:val="22"/>
          <w:szCs w:val="22"/>
        </w:rPr>
      </w:pPr>
      <w:r>
        <w:rPr>
          <w:i/>
          <w:sz w:val="22"/>
          <w:szCs w:val="22"/>
        </w:rPr>
        <w:t xml:space="preserve">NR should support dynamic pooling of HARQ </w:t>
      </w:r>
      <w:r w:rsidR="00A664C3">
        <w:rPr>
          <w:i/>
          <w:sz w:val="22"/>
          <w:szCs w:val="22"/>
        </w:rPr>
        <w:t xml:space="preserve">buffer </w:t>
      </w:r>
      <w:r>
        <w:rPr>
          <w:i/>
          <w:sz w:val="22"/>
          <w:szCs w:val="22"/>
        </w:rPr>
        <w:t xml:space="preserve">across component carriers in carrier aggregation of NR carriers. </w:t>
      </w:r>
    </w:p>
    <w:p w14:paraId="38B9E3E5" w14:textId="77777777" w:rsidR="00DA4A73" w:rsidRPr="002B5BBB" w:rsidRDefault="00DA4A73" w:rsidP="002B5BBB">
      <w:pPr>
        <w:numPr>
          <w:ilvl w:val="0"/>
          <w:numId w:val="22"/>
        </w:numPr>
        <w:jc w:val="both"/>
        <w:textAlignment w:val="auto"/>
        <w:rPr>
          <w:i/>
          <w:sz w:val="22"/>
          <w:szCs w:val="22"/>
        </w:rPr>
      </w:pPr>
      <w:r w:rsidRPr="002B5BBB">
        <w:rPr>
          <w:i/>
          <w:sz w:val="22"/>
          <w:szCs w:val="22"/>
        </w:rPr>
        <w:t>Soft buffer management for NR is left up to UE implementation</w:t>
      </w:r>
    </w:p>
    <w:p w14:paraId="5C939ADE" w14:textId="25A915CF" w:rsidR="00CF2B49" w:rsidRDefault="00CF2B49" w:rsidP="00DA4A73">
      <w:pPr>
        <w:numPr>
          <w:ilvl w:val="0"/>
          <w:numId w:val="22"/>
        </w:numPr>
        <w:jc w:val="both"/>
        <w:textAlignment w:val="auto"/>
        <w:rPr>
          <w:i/>
          <w:sz w:val="22"/>
          <w:szCs w:val="22"/>
        </w:rPr>
      </w:pPr>
      <w:r>
        <w:rPr>
          <w:i/>
          <w:sz w:val="22"/>
          <w:szCs w:val="22"/>
        </w:rPr>
        <w:t>NR supports HARQ buffer loading status reporting from the UE</w:t>
      </w:r>
    </w:p>
    <w:p w14:paraId="10CAB6BD" w14:textId="77777777" w:rsidR="00422E82" w:rsidRDefault="00422E82" w:rsidP="009C6263">
      <w:pPr>
        <w:jc w:val="both"/>
        <w:rPr>
          <w:sz w:val="22"/>
          <w:szCs w:val="22"/>
        </w:rPr>
      </w:pPr>
    </w:p>
    <w:p w14:paraId="4BD117C6" w14:textId="77777777" w:rsidR="000349E0" w:rsidRPr="000349E0" w:rsidRDefault="000349E0" w:rsidP="00F62F84">
      <w:pPr>
        <w:pStyle w:val="Heading1"/>
        <w:numPr>
          <w:ilvl w:val="0"/>
          <w:numId w:val="27"/>
        </w:numPr>
        <w:ind w:left="360"/>
        <w:textAlignment w:val="auto"/>
        <w:rPr>
          <w:sz w:val="32"/>
        </w:rPr>
      </w:pPr>
      <w:r w:rsidRPr="000349E0">
        <w:rPr>
          <w:sz w:val="32"/>
        </w:rPr>
        <w:t>Summary</w:t>
      </w:r>
    </w:p>
    <w:p w14:paraId="2F89D9BA" w14:textId="77777777" w:rsidR="000349E0" w:rsidRDefault="000349E0" w:rsidP="000349E0">
      <w:pPr>
        <w:spacing w:before="240"/>
        <w:ind w:firstLine="288"/>
        <w:jc w:val="both"/>
        <w:rPr>
          <w:sz w:val="22"/>
          <w:szCs w:val="22"/>
        </w:rPr>
      </w:pPr>
      <w:r>
        <w:rPr>
          <w:sz w:val="22"/>
          <w:szCs w:val="22"/>
        </w:rPr>
        <w:t>T</w:t>
      </w:r>
      <w:r w:rsidR="00F96662">
        <w:rPr>
          <w:sz w:val="22"/>
          <w:szCs w:val="22"/>
        </w:rPr>
        <w:t>his document presented our views on HARQ processing time and number of HARQ processes. The following is a summary of our proposals in this contribution.</w:t>
      </w:r>
    </w:p>
    <w:p w14:paraId="56728365" w14:textId="77777777" w:rsidR="00F96662" w:rsidRDefault="00F96662" w:rsidP="00F96662">
      <w:pPr>
        <w:ind w:firstLine="284"/>
        <w:jc w:val="both"/>
        <w:rPr>
          <w:b/>
          <w:i/>
          <w:sz w:val="22"/>
          <w:szCs w:val="22"/>
        </w:rPr>
      </w:pPr>
      <w:r>
        <w:rPr>
          <w:b/>
          <w:i/>
          <w:sz w:val="22"/>
          <w:szCs w:val="22"/>
        </w:rPr>
        <w:t>Proposals:</w:t>
      </w:r>
    </w:p>
    <w:p w14:paraId="1987DB49" w14:textId="77777777" w:rsidR="00876603" w:rsidRDefault="00876603" w:rsidP="00876603">
      <w:pPr>
        <w:numPr>
          <w:ilvl w:val="0"/>
          <w:numId w:val="22"/>
        </w:numPr>
        <w:jc w:val="both"/>
        <w:textAlignment w:val="auto"/>
        <w:rPr>
          <w:i/>
          <w:sz w:val="22"/>
          <w:szCs w:val="22"/>
        </w:rPr>
      </w:pPr>
      <w:r>
        <w:rPr>
          <w:i/>
          <w:sz w:val="22"/>
          <w:szCs w:val="22"/>
        </w:rPr>
        <w:t xml:space="preserve">NR should consider impact of </w:t>
      </w:r>
      <w:r w:rsidRPr="00876603">
        <w:rPr>
          <w:i/>
          <w:sz w:val="22"/>
          <w:szCs w:val="22"/>
        </w:rPr>
        <w:t xml:space="preserve">downlink control channel design, data rate, TTI configured for transmission, transmission bandwidth, configured TA, and subcarrier spacing </w:t>
      </w:r>
      <w:r>
        <w:rPr>
          <w:i/>
          <w:sz w:val="22"/>
          <w:szCs w:val="22"/>
        </w:rPr>
        <w:t>to the required HARQ processing time and the UE capability signaling.</w:t>
      </w:r>
    </w:p>
    <w:p w14:paraId="1FD58456" w14:textId="77777777" w:rsidR="00FF7850" w:rsidRDefault="00FF7850" w:rsidP="00FF7850">
      <w:pPr>
        <w:numPr>
          <w:ilvl w:val="0"/>
          <w:numId w:val="22"/>
        </w:numPr>
        <w:jc w:val="both"/>
        <w:textAlignment w:val="auto"/>
        <w:rPr>
          <w:i/>
          <w:sz w:val="22"/>
          <w:szCs w:val="22"/>
        </w:rPr>
      </w:pPr>
      <w:r>
        <w:rPr>
          <w:i/>
          <w:sz w:val="22"/>
          <w:szCs w:val="22"/>
        </w:rPr>
        <w:t xml:space="preserve">Support configuration of at least 8 (for FDD) and 16 (for TDD) addressable HARQ process numbers. This does not directly imply that the number of soft bits required by the UE is provisioned based on 8 and 16 HARQ processes. </w:t>
      </w:r>
    </w:p>
    <w:p w14:paraId="40922C2C" w14:textId="77777777" w:rsidR="00FF7850" w:rsidRDefault="00FF7850" w:rsidP="00FF7850">
      <w:pPr>
        <w:numPr>
          <w:ilvl w:val="0"/>
          <w:numId w:val="22"/>
        </w:numPr>
        <w:jc w:val="both"/>
        <w:textAlignment w:val="auto"/>
        <w:rPr>
          <w:i/>
          <w:sz w:val="22"/>
          <w:szCs w:val="22"/>
        </w:rPr>
      </w:pPr>
      <w:r>
        <w:rPr>
          <w:i/>
          <w:sz w:val="22"/>
          <w:szCs w:val="22"/>
        </w:rPr>
        <w:t xml:space="preserve">NR should support dynamic pooling of HARQ buffer across component carriers in carrier aggregation of NR carriers. </w:t>
      </w:r>
    </w:p>
    <w:p w14:paraId="42B56A14" w14:textId="77777777" w:rsidR="00FF7850" w:rsidRPr="002B5BBB" w:rsidRDefault="00FF7850" w:rsidP="00FF7850">
      <w:pPr>
        <w:numPr>
          <w:ilvl w:val="0"/>
          <w:numId w:val="22"/>
        </w:numPr>
        <w:jc w:val="both"/>
        <w:textAlignment w:val="auto"/>
        <w:rPr>
          <w:i/>
          <w:sz w:val="22"/>
          <w:szCs w:val="22"/>
        </w:rPr>
      </w:pPr>
      <w:r w:rsidRPr="002B5BBB">
        <w:rPr>
          <w:i/>
          <w:sz w:val="22"/>
          <w:szCs w:val="22"/>
        </w:rPr>
        <w:t>Soft buffer management for NR is left up to UE implementation</w:t>
      </w:r>
    </w:p>
    <w:p w14:paraId="44B34FCA" w14:textId="77777777" w:rsidR="00FF7850" w:rsidRDefault="00FF7850" w:rsidP="00FF7850">
      <w:pPr>
        <w:numPr>
          <w:ilvl w:val="0"/>
          <w:numId w:val="22"/>
        </w:numPr>
        <w:jc w:val="both"/>
        <w:textAlignment w:val="auto"/>
        <w:rPr>
          <w:i/>
          <w:sz w:val="22"/>
          <w:szCs w:val="22"/>
        </w:rPr>
      </w:pPr>
      <w:r>
        <w:rPr>
          <w:i/>
          <w:sz w:val="22"/>
          <w:szCs w:val="22"/>
        </w:rPr>
        <w:t>NR supports HARQ buffer loading status reporting from the UE</w:t>
      </w:r>
    </w:p>
    <w:p w14:paraId="31BE1034" w14:textId="732CB1F5" w:rsidR="00CF2B49" w:rsidRPr="00CF2B49" w:rsidRDefault="00CF2B49" w:rsidP="009C6263">
      <w:pPr>
        <w:jc w:val="both"/>
        <w:textAlignment w:val="auto"/>
        <w:rPr>
          <w:i/>
          <w:sz w:val="22"/>
          <w:szCs w:val="22"/>
        </w:rPr>
      </w:pPr>
    </w:p>
    <w:sectPr w:rsidR="00CF2B49" w:rsidRPr="00CF2B4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037AF" w14:textId="77777777" w:rsidR="001862F2" w:rsidRDefault="001862F2">
      <w:r>
        <w:separator/>
      </w:r>
    </w:p>
  </w:endnote>
  <w:endnote w:type="continuationSeparator" w:id="0">
    <w:p w14:paraId="129FAC02" w14:textId="77777777" w:rsidR="001862F2" w:rsidRDefault="0018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0CE3" w14:textId="77777777" w:rsidR="00711826" w:rsidRDefault="007118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1F35A9" w14:textId="77777777" w:rsidR="00711826" w:rsidRDefault="007118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44E5" w14:textId="77777777" w:rsidR="00711826" w:rsidRDefault="007118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C62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626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F3ADB" w14:textId="77777777" w:rsidR="001862F2" w:rsidRDefault="001862F2">
      <w:r>
        <w:separator/>
      </w:r>
    </w:p>
  </w:footnote>
  <w:footnote w:type="continuationSeparator" w:id="0">
    <w:p w14:paraId="0EE6F258" w14:textId="77777777" w:rsidR="001862F2" w:rsidRDefault="00186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EA95F" w14:textId="77777777" w:rsidR="00711826" w:rsidRDefault="007118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C27AA0"/>
    <w:multiLevelType w:val="hybridMultilevel"/>
    <w:tmpl w:val="3E7EC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B02A3"/>
    <w:multiLevelType w:val="hybridMultilevel"/>
    <w:tmpl w:val="6D8898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cs="Times New Roman" w:hint="default"/>
      </w:rPr>
    </w:lvl>
    <w:lvl w:ilvl="1" w:tplc="BF5A4F6E">
      <w:start w:val="425"/>
      <w:numFmt w:val="bullet"/>
      <w:lvlText w:val="–"/>
      <w:lvlJc w:val="left"/>
      <w:pPr>
        <w:tabs>
          <w:tab w:val="num" w:pos="1440"/>
        </w:tabs>
        <w:ind w:left="1440" w:hanging="360"/>
      </w:pPr>
      <w:rPr>
        <w:rFonts w:ascii="Arial" w:hAnsi="Arial" w:cs="Times New Roman" w:hint="default"/>
      </w:rPr>
    </w:lvl>
    <w:lvl w:ilvl="2" w:tplc="BE4CE7AA">
      <w:start w:val="425"/>
      <w:numFmt w:val="bullet"/>
      <w:lvlText w:val="•"/>
      <w:lvlJc w:val="left"/>
      <w:pPr>
        <w:tabs>
          <w:tab w:val="num" w:pos="2160"/>
        </w:tabs>
        <w:ind w:left="2160" w:hanging="360"/>
      </w:pPr>
      <w:rPr>
        <w:rFonts w:ascii="Arial" w:hAnsi="Arial" w:cs="Times New Roman" w:hint="default"/>
      </w:rPr>
    </w:lvl>
    <w:lvl w:ilvl="3" w:tplc="FEA2457C">
      <w:start w:val="1"/>
      <w:numFmt w:val="bullet"/>
      <w:lvlText w:val="•"/>
      <w:lvlJc w:val="left"/>
      <w:pPr>
        <w:tabs>
          <w:tab w:val="num" w:pos="2880"/>
        </w:tabs>
        <w:ind w:left="2880" w:hanging="360"/>
      </w:pPr>
      <w:rPr>
        <w:rFonts w:ascii="Arial" w:hAnsi="Arial" w:cs="Times New Roman" w:hint="default"/>
      </w:rPr>
    </w:lvl>
    <w:lvl w:ilvl="4" w:tplc="F82A1082">
      <w:start w:val="1"/>
      <w:numFmt w:val="bullet"/>
      <w:lvlText w:val="•"/>
      <w:lvlJc w:val="left"/>
      <w:pPr>
        <w:tabs>
          <w:tab w:val="num" w:pos="3600"/>
        </w:tabs>
        <w:ind w:left="3600" w:hanging="360"/>
      </w:pPr>
      <w:rPr>
        <w:rFonts w:ascii="Arial" w:hAnsi="Arial" w:cs="Times New Roman" w:hint="default"/>
      </w:rPr>
    </w:lvl>
    <w:lvl w:ilvl="5" w:tplc="A8B4935A">
      <w:start w:val="1"/>
      <w:numFmt w:val="bullet"/>
      <w:lvlText w:val="•"/>
      <w:lvlJc w:val="left"/>
      <w:pPr>
        <w:tabs>
          <w:tab w:val="num" w:pos="4320"/>
        </w:tabs>
        <w:ind w:left="4320" w:hanging="360"/>
      </w:pPr>
      <w:rPr>
        <w:rFonts w:ascii="Arial" w:hAnsi="Arial" w:cs="Times New Roman" w:hint="default"/>
      </w:rPr>
    </w:lvl>
    <w:lvl w:ilvl="6" w:tplc="7BFE1DBA">
      <w:start w:val="1"/>
      <w:numFmt w:val="bullet"/>
      <w:lvlText w:val="•"/>
      <w:lvlJc w:val="left"/>
      <w:pPr>
        <w:tabs>
          <w:tab w:val="num" w:pos="5040"/>
        </w:tabs>
        <w:ind w:left="5040" w:hanging="360"/>
      </w:pPr>
      <w:rPr>
        <w:rFonts w:ascii="Arial" w:hAnsi="Arial" w:cs="Times New Roman" w:hint="default"/>
      </w:rPr>
    </w:lvl>
    <w:lvl w:ilvl="7" w:tplc="ABB6CF48">
      <w:start w:val="1"/>
      <w:numFmt w:val="bullet"/>
      <w:lvlText w:val="•"/>
      <w:lvlJc w:val="left"/>
      <w:pPr>
        <w:tabs>
          <w:tab w:val="num" w:pos="5760"/>
        </w:tabs>
        <w:ind w:left="5760" w:hanging="360"/>
      </w:pPr>
      <w:rPr>
        <w:rFonts w:ascii="Arial" w:hAnsi="Arial" w:cs="Times New Roman" w:hint="default"/>
      </w:rPr>
    </w:lvl>
    <w:lvl w:ilvl="8" w:tplc="8064E9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2C1C3E"/>
    <w:multiLevelType w:val="hybridMultilevel"/>
    <w:tmpl w:val="C75E0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
  </w:num>
  <w:num w:numId="4">
    <w:abstractNumId w:val="15"/>
  </w:num>
  <w:num w:numId="5">
    <w:abstractNumId w:val="7"/>
  </w:num>
  <w:num w:numId="6">
    <w:abstractNumId w:val="19"/>
  </w:num>
  <w:num w:numId="7">
    <w:abstractNumId w:val="4"/>
  </w:num>
  <w:num w:numId="8">
    <w:abstractNumId w:val="17"/>
  </w:num>
  <w:num w:numId="9">
    <w:abstractNumId w:val="25"/>
  </w:num>
  <w:num w:numId="10">
    <w:abstractNumId w:val="1"/>
  </w:num>
  <w:num w:numId="11">
    <w:abstractNumId w:val="28"/>
  </w:num>
  <w:num w:numId="12">
    <w:abstractNumId w:val="27"/>
  </w:num>
  <w:num w:numId="13">
    <w:abstractNumId w:val="20"/>
  </w:num>
  <w:num w:numId="14">
    <w:abstractNumId w:val="8"/>
  </w:num>
  <w:num w:numId="15">
    <w:abstractNumId w:val="11"/>
  </w:num>
  <w:num w:numId="16">
    <w:abstractNumId w:val="12"/>
  </w:num>
  <w:num w:numId="17">
    <w:abstractNumId w:val="5"/>
  </w:num>
  <w:num w:numId="18">
    <w:abstractNumId w:val="23"/>
  </w:num>
  <w:num w:numId="19">
    <w:abstractNumId w:val="13"/>
  </w:num>
  <w:num w:numId="20">
    <w:abstractNumId w:val="24"/>
  </w:num>
  <w:num w:numId="21">
    <w:abstractNumId w:val="3"/>
  </w:num>
  <w:num w:numId="22">
    <w:abstractNumId w:val="2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6"/>
  </w:num>
  <w:num w:numId="26">
    <w:abstractNumId w:val="16"/>
  </w:num>
  <w:num w:numId="27">
    <w:abstractNumId w:val="22"/>
  </w:num>
  <w:num w:numId="28">
    <w:abstractNumId w:val="2"/>
  </w:num>
  <w:num w:numId="29">
    <w:abstractNumId w:val="10"/>
  </w:num>
  <w:num w:numId="3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749"/>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9E0"/>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0E"/>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08D"/>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23D"/>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4C7"/>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EDA"/>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0CD"/>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2F2"/>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7DA"/>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CAC"/>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469"/>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93A"/>
    <w:rsid w:val="00284E7F"/>
    <w:rsid w:val="00285520"/>
    <w:rsid w:val="00285894"/>
    <w:rsid w:val="00285E28"/>
    <w:rsid w:val="00286378"/>
    <w:rsid w:val="00286487"/>
    <w:rsid w:val="00286631"/>
    <w:rsid w:val="00286B14"/>
    <w:rsid w:val="00286F76"/>
    <w:rsid w:val="00287376"/>
    <w:rsid w:val="002877DE"/>
    <w:rsid w:val="00287C28"/>
    <w:rsid w:val="00290254"/>
    <w:rsid w:val="0029178F"/>
    <w:rsid w:val="00291B01"/>
    <w:rsid w:val="00293504"/>
    <w:rsid w:val="00293FBC"/>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3F00"/>
    <w:rsid w:val="002B4C39"/>
    <w:rsid w:val="002B5976"/>
    <w:rsid w:val="002B5BBB"/>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4664"/>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7EA"/>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5FC"/>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2E82"/>
    <w:rsid w:val="0042307B"/>
    <w:rsid w:val="00423326"/>
    <w:rsid w:val="00425159"/>
    <w:rsid w:val="00425C97"/>
    <w:rsid w:val="00425FFD"/>
    <w:rsid w:val="004262F8"/>
    <w:rsid w:val="00426442"/>
    <w:rsid w:val="0042654A"/>
    <w:rsid w:val="00426A93"/>
    <w:rsid w:val="00426DFA"/>
    <w:rsid w:val="004276E3"/>
    <w:rsid w:val="004279ED"/>
    <w:rsid w:val="00427E67"/>
    <w:rsid w:val="00427FDC"/>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165"/>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0CA"/>
    <w:rsid w:val="00521D65"/>
    <w:rsid w:val="00521DFD"/>
    <w:rsid w:val="005221A4"/>
    <w:rsid w:val="00523366"/>
    <w:rsid w:val="00523E18"/>
    <w:rsid w:val="00523F32"/>
    <w:rsid w:val="0052422C"/>
    <w:rsid w:val="005244D5"/>
    <w:rsid w:val="005248C4"/>
    <w:rsid w:val="00524AD1"/>
    <w:rsid w:val="00524E6A"/>
    <w:rsid w:val="00525031"/>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B1F"/>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4B6"/>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2AC7"/>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4CF"/>
    <w:rsid w:val="005D43CE"/>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019"/>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E20"/>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6CF5"/>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E52"/>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82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A80"/>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8C7"/>
    <w:rsid w:val="00762924"/>
    <w:rsid w:val="0076295C"/>
    <w:rsid w:val="00762B5E"/>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681"/>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49AD"/>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3AF"/>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C4D"/>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03"/>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590"/>
    <w:rsid w:val="008F473A"/>
    <w:rsid w:val="008F4BFE"/>
    <w:rsid w:val="008F4E3F"/>
    <w:rsid w:val="008F5184"/>
    <w:rsid w:val="008F595E"/>
    <w:rsid w:val="008F6188"/>
    <w:rsid w:val="008F6649"/>
    <w:rsid w:val="008F6CD1"/>
    <w:rsid w:val="008F7BD6"/>
    <w:rsid w:val="008F7CEF"/>
    <w:rsid w:val="009000FD"/>
    <w:rsid w:val="00900DDE"/>
    <w:rsid w:val="00900DF1"/>
    <w:rsid w:val="00900F9B"/>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27"/>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FD"/>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3EA8"/>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0DD"/>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B52"/>
    <w:rsid w:val="009C3790"/>
    <w:rsid w:val="009C3D88"/>
    <w:rsid w:val="009C46E0"/>
    <w:rsid w:val="009C496E"/>
    <w:rsid w:val="009C520B"/>
    <w:rsid w:val="009C5785"/>
    <w:rsid w:val="009C5874"/>
    <w:rsid w:val="009C6263"/>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3A4E"/>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228"/>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4C3"/>
    <w:rsid w:val="00A66A5A"/>
    <w:rsid w:val="00A677C1"/>
    <w:rsid w:val="00A67A8E"/>
    <w:rsid w:val="00A67AC6"/>
    <w:rsid w:val="00A70478"/>
    <w:rsid w:val="00A70A35"/>
    <w:rsid w:val="00A70AA0"/>
    <w:rsid w:val="00A7141F"/>
    <w:rsid w:val="00A71D6B"/>
    <w:rsid w:val="00A71F1F"/>
    <w:rsid w:val="00A72C6C"/>
    <w:rsid w:val="00A73741"/>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9B0"/>
    <w:rsid w:val="00AA1D12"/>
    <w:rsid w:val="00AA1EEC"/>
    <w:rsid w:val="00AA210C"/>
    <w:rsid w:val="00AA23CE"/>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29E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18"/>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660"/>
    <w:rsid w:val="00BE3EA0"/>
    <w:rsid w:val="00BE403F"/>
    <w:rsid w:val="00BE475F"/>
    <w:rsid w:val="00BE5519"/>
    <w:rsid w:val="00BE57B1"/>
    <w:rsid w:val="00BE5813"/>
    <w:rsid w:val="00BE5C35"/>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8E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88"/>
    <w:rsid w:val="00C667F6"/>
    <w:rsid w:val="00C66B89"/>
    <w:rsid w:val="00C66C34"/>
    <w:rsid w:val="00C67231"/>
    <w:rsid w:val="00C6737D"/>
    <w:rsid w:val="00C7040D"/>
    <w:rsid w:val="00C70B8C"/>
    <w:rsid w:val="00C71468"/>
    <w:rsid w:val="00C71DCC"/>
    <w:rsid w:val="00C72006"/>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804"/>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78C"/>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B49"/>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B1C"/>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729"/>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7C3"/>
    <w:rsid w:val="00DA492A"/>
    <w:rsid w:val="00DA4A73"/>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0CE"/>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3DF"/>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41"/>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47E8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C9C"/>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1198"/>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58C"/>
    <w:rsid w:val="00EF7614"/>
    <w:rsid w:val="00EF7878"/>
    <w:rsid w:val="00F000F0"/>
    <w:rsid w:val="00F00180"/>
    <w:rsid w:val="00F006E4"/>
    <w:rsid w:val="00F00923"/>
    <w:rsid w:val="00F00C9D"/>
    <w:rsid w:val="00F017CB"/>
    <w:rsid w:val="00F0197D"/>
    <w:rsid w:val="00F01A58"/>
    <w:rsid w:val="00F01AFA"/>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89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D20"/>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F84"/>
    <w:rsid w:val="00F63289"/>
    <w:rsid w:val="00F6404E"/>
    <w:rsid w:val="00F6433C"/>
    <w:rsid w:val="00F6474A"/>
    <w:rsid w:val="00F64966"/>
    <w:rsid w:val="00F64F9F"/>
    <w:rsid w:val="00F65931"/>
    <w:rsid w:val="00F65A03"/>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4DC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662"/>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034"/>
    <w:rsid w:val="00FB3CD6"/>
    <w:rsid w:val="00FB4065"/>
    <w:rsid w:val="00FB4760"/>
    <w:rsid w:val="00FB47B5"/>
    <w:rsid w:val="00FB52FD"/>
    <w:rsid w:val="00FB57A7"/>
    <w:rsid w:val="00FB5A6F"/>
    <w:rsid w:val="00FB6401"/>
    <w:rsid w:val="00FB68CE"/>
    <w:rsid w:val="00FB6B9D"/>
    <w:rsid w:val="00FB7005"/>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4021"/>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50"/>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17029"/>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26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C62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C6263"/>
    <w:pPr>
      <w:pBdr>
        <w:top w:val="none" w:sz="0" w:space="0" w:color="auto"/>
      </w:pBdr>
      <w:spacing w:before="180"/>
      <w:outlineLvl w:val="1"/>
    </w:pPr>
    <w:rPr>
      <w:sz w:val="32"/>
    </w:rPr>
  </w:style>
  <w:style w:type="paragraph" w:styleId="Heading3">
    <w:name w:val="heading 3"/>
    <w:basedOn w:val="Heading2"/>
    <w:next w:val="Normal"/>
    <w:link w:val="Heading3Char"/>
    <w:qFormat/>
    <w:rsid w:val="009C6263"/>
    <w:pPr>
      <w:spacing w:before="120"/>
      <w:outlineLvl w:val="2"/>
    </w:pPr>
    <w:rPr>
      <w:sz w:val="28"/>
    </w:rPr>
  </w:style>
  <w:style w:type="paragraph" w:styleId="Heading4">
    <w:name w:val="heading 4"/>
    <w:aliases w:val="h4"/>
    <w:basedOn w:val="Heading3"/>
    <w:next w:val="Normal"/>
    <w:link w:val="Heading4Char"/>
    <w:qFormat/>
    <w:rsid w:val="009C6263"/>
    <w:pPr>
      <w:ind w:left="1418" w:hanging="1418"/>
      <w:outlineLvl w:val="3"/>
    </w:pPr>
    <w:rPr>
      <w:sz w:val="24"/>
    </w:rPr>
  </w:style>
  <w:style w:type="paragraph" w:styleId="Heading5">
    <w:name w:val="heading 5"/>
    <w:basedOn w:val="Heading4"/>
    <w:next w:val="Normal"/>
    <w:link w:val="Heading5Char"/>
    <w:qFormat/>
    <w:rsid w:val="009C6263"/>
    <w:pPr>
      <w:ind w:left="1701" w:hanging="1701"/>
      <w:outlineLvl w:val="4"/>
    </w:pPr>
    <w:rPr>
      <w:sz w:val="22"/>
    </w:rPr>
  </w:style>
  <w:style w:type="paragraph" w:styleId="Heading6">
    <w:name w:val="heading 6"/>
    <w:basedOn w:val="H6"/>
    <w:next w:val="Normal"/>
    <w:qFormat/>
    <w:rsid w:val="009C6263"/>
    <w:pPr>
      <w:outlineLvl w:val="5"/>
    </w:pPr>
  </w:style>
  <w:style w:type="paragraph" w:styleId="Heading7">
    <w:name w:val="heading 7"/>
    <w:basedOn w:val="H6"/>
    <w:next w:val="Normal"/>
    <w:qFormat/>
    <w:rsid w:val="009C6263"/>
    <w:pPr>
      <w:outlineLvl w:val="6"/>
    </w:pPr>
  </w:style>
  <w:style w:type="paragraph" w:styleId="Heading8">
    <w:name w:val="heading 8"/>
    <w:basedOn w:val="Heading1"/>
    <w:next w:val="Normal"/>
    <w:qFormat/>
    <w:rsid w:val="009C6263"/>
    <w:pPr>
      <w:ind w:left="0" w:firstLine="0"/>
      <w:outlineLvl w:val="7"/>
    </w:pPr>
  </w:style>
  <w:style w:type="paragraph" w:styleId="Heading9">
    <w:name w:val="heading 9"/>
    <w:basedOn w:val="Heading8"/>
    <w:next w:val="Normal"/>
    <w:qFormat/>
    <w:rsid w:val="009C6263"/>
    <w:pPr>
      <w:outlineLvl w:val="8"/>
    </w:pPr>
  </w:style>
  <w:style w:type="character" w:default="1" w:styleId="DefaultParagraphFont">
    <w:name w:val="Default Paragraph Font"/>
    <w:uiPriority w:val="1"/>
    <w:semiHidden/>
    <w:unhideWhenUsed/>
    <w:rsid w:val="009C62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263"/>
  </w:style>
  <w:style w:type="paragraph" w:styleId="TOC8">
    <w:name w:val="toc 8"/>
    <w:basedOn w:val="TOC1"/>
    <w:semiHidden/>
    <w:rsid w:val="009C6263"/>
    <w:pPr>
      <w:spacing w:before="180"/>
      <w:ind w:left="2693" w:hanging="2693"/>
    </w:pPr>
    <w:rPr>
      <w:b/>
    </w:rPr>
  </w:style>
  <w:style w:type="paragraph" w:styleId="TOC1">
    <w:name w:val="toc 1"/>
    <w:semiHidden/>
    <w:rsid w:val="009C62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C62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C6263"/>
    <w:pPr>
      <w:ind w:left="1701" w:hanging="1701"/>
    </w:pPr>
  </w:style>
  <w:style w:type="paragraph" w:styleId="TOC4">
    <w:name w:val="toc 4"/>
    <w:basedOn w:val="TOC3"/>
    <w:semiHidden/>
    <w:rsid w:val="009C6263"/>
    <w:pPr>
      <w:ind w:left="1418" w:hanging="1418"/>
    </w:pPr>
  </w:style>
  <w:style w:type="paragraph" w:styleId="TOC3">
    <w:name w:val="toc 3"/>
    <w:basedOn w:val="TOC2"/>
    <w:semiHidden/>
    <w:rsid w:val="009C6263"/>
    <w:pPr>
      <w:ind w:left="1134" w:hanging="1134"/>
    </w:pPr>
  </w:style>
  <w:style w:type="paragraph" w:styleId="TOC2">
    <w:name w:val="toc 2"/>
    <w:basedOn w:val="TOC1"/>
    <w:semiHidden/>
    <w:rsid w:val="009C6263"/>
    <w:pPr>
      <w:keepNext w:val="0"/>
      <w:spacing w:before="0"/>
      <w:ind w:left="851" w:hanging="851"/>
    </w:pPr>
    <w:rPr>
      <w:sz w:val="20"/>
    </w:rPr>
  </w:style>
  <w:style w:type="paragraph" w:styleId="Index2">
    <w:name w:val="index 2"/>
    <w:basedOn w:val="Index1"/>
    <w:semiHidden/>
    <w:rsid w:val="009C6263"/>
    <w:pPr>
      <w:ind w:left="284"/>
    </w:pPr>
  </w:style>
  <w:style w:type="paragraph" w:styleId="Index1">
    <w:name w:val="index 1"/>
    <w:basedOn w:val="Normal"/>
    <w:semiHidden/>
    <w:rsid w:val="009C6263"/>
    <w:pPr>
      <w:keepLines/>
      <w:spacing w:after="0"/>
    </w:pPr>
  </w:style>
  <w:style w:type="paragraph" w:customStyle="1" w:styleId="ZH">
    <w:name w:val="ZH"/>
    <w:rsid w:val="009C626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C6263"/>
    <w:pPr>
      <w:outlineLvl w:val="9"/>
    </w:pPr>
  </w:style>
  <w:style w:type="paragraph" w:styleId="ListNumber2">
    <w:name w:val="List Number 2"/>
    <w:basedOn w:val="ListNumber"/>
    <w:rsid w:val="009C62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C626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C6263"/>
    <w:rPr>
      <w:b/>
      <w:position w:val="6"/>
      <w:sz w:val="16"/>
    </w:rPr>
  </w:style>
  <w:style w:type="paragraph" w:styleId="FootnoteText">
    <w:name w:val="footnote text"/>
    <w:basedOn w:val="Normal"/>
    <w:semiHidden/>
    <w:rsid w:val="009C6263"/>
    <w:pPr>
      <w:keepLines/>
      <w:spacing w:after="0"/>
      <w:ind w:left="454" w:hanging="454"/>
    </w:pPr>
    <w:rPr>
      <w:sz w:val="16"/>
    </w:rPr>
  </w:style>
  <w:style w:type="paragraph" w:customStyle="1" w:styleId="TAH">
    <w:name w:val="TAH"/>
    <w:basedOn w:val="TAC"/>
    <w:rsid w:val="009C6263"/>
    <w:rPr>
      <w:b/>
    </w:rPr>
  </w:style>
  <w:style w:type="paragraph" w:customStyle="1" w:styleId="TAC">
    <w:name w:val="TAC"/>
    <w:basedOn w:val="TAL"/>
    <w:rsid w:val="009C6263"/>
    <w:pPr>
      <w:jc w:val="center"/>
    </w:pPr>
  </w:style>
  <w:style w:type="paragraph" w:customStyle="1" w:styleId="TF">
    <w:name w:val="TF"/>
    <w:basedOn w:val="TH"/>
    <w:rsid w:val="009C6263"/>
    <w:pPr>
      <w:keepNext w:val="0"/>
      <w:spacing w:before="0" w:after="240"/>
    </w:pPr>
  </w:style>
  <w:style w:type="paragraph" w:customStyle="1" w:styleId="NO">
    <w:name w:val="NO"/>
    <w:basedOn w:val="Normal"/>
    <w:rsid w:val="009C6263"/>
    <w:pPr>
      <w:keepLines/>
      <w:ind w:left="1135" w:hanging="851"/>
    </w:pPr>
  </w:style>
  <w:style w:type="paragraph" w:styleId="TOC9">
    <w:name w:val="toc 9"/>
    <w:basedOn w:val="TOC8"/>
    <w:semiHidden/>
    <w:rsid w:val="009C6263"/>
    <w:pPr>
      <w:ind w:left="1418" w:hanging="1418"/>
    </w:pPr>
  </w:style>
  <w:style w:type="paragraph" w:customStyle="1" w:styleId="EX">
    <w:name w:val="EX"/>
    <w:basedOn w:val="Normal"/>
    <w:rsid w:val="009C6263"/>
    <w:pPr>
      <w:keepLines/>
      <w:ind w:left="1702" w:hanging="1418"/>
    </w:pPr>
  </w:style>
  <w:style w:type="paragraph" w:customStyle="1" w:styleId="FP">
    <w:name w:val="FP"/>
    <w:basedOn w:val="Normal"/>
    <w:rsid w:val="009C6263"/>
    <w:pPr>
      <w:spacing w:after="0"/>
    </w:pPr>
  </w:style>
  <w:style w:type="paragraph" w:customStyle="1" w:styleId="LD">
    <w:name w:val="LD"/>
    <w:rsid w:val="009C626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C6263"/>
    <w:pPr>
      <w:spacing w:after="0"/>
    </w:pPr>
  </w:style>
  <w:style w:type="paragraph" w:customStyle="1" w:styleId="EW">
    <w:name w:val="EW"/>
    <w:basedOn w:val="EX"/>
    <w:rsid w:val="009C6263"/>
    <w:pPr>
      <w:spacing w:after="0"/>
    </w:pPr>
  </w:style>
  <w:style w:type="paragraph" w:styleId="TOC6">
    <w:name w:val="toc 6"/>
    <w:basedOn w:val="TOC5"/>
    <w:next w:val="Normal"/>
    <w:semiHidden/>
    <w:rsid w:val="009C6263"/>
    <w:pPr>
      <w:ind w:left="1985" w:hanging="1985"/>
    </w:pPr>
  </w:style>
  <w:style w:type="paragraph" w:styleId="TOC7">
    <w:name w:val="toc 7"/>
    <w:basedOn w:val="TOC6"/>
    <w:next w:val="Normal"/>
    <w:semiHidden/>
    <w:rsid w:val="009C6263"/>
    <w:pPr>
      <w:ind w:left="2268" w:hanging="2268"/>
    </w:pPr>
  </w:style>
  <w:style w:type="paragraph" w:styleId="ListBullet2">
    <w:name w:val="List Bullet 2"/>
    <w:basedOn w:val="ListBullet"/>
    <w:rsid w:val="009C6263"/>
    <w:pPr>
      <w:ind w:left="851"/>
    </w:pPr>
  </w:style>
  <w:style w:type="paragraph" w:styleId="ListBullet3">
    <w:name w:val="List Bullet 3"/>
    <w:basedOn w:val="ListBullet2"/>
    <w:rsid w:val="009C6263"/>
    <w:pPr>
      <w:ind w:left="1135"/>
    </w:pPr>
  </w:style>
  <w:style w:type="paragraph" w:styleId="ListNumber">
    <w:name w:val="List Number"/>
    <w:basedOn w:val="List"/>
    <w:rsid w:val="009C6263"/>
  </w:style>
  <w:style w:type="paragraph" w:customStyle="1" w:styleId="EQ">
    <w:name w:val="EQ"/>
    <w:basedOn w:val="Normal"/>
    <w:next w:val="Normal"/>
    <w:rsid w:val="009C6263"/>
    <w:pPr>
      <w:keepLines/>
      <w:tabs>
        <w:tab w:val="center" w:pos="4536"/>
        <w:tab w:val="right" w:pos="9072"/>
      </w:tabs>
    </w:pPr>
    <w:rPr>
      <w:noProof/>
    </w:rPr>
  </w:style>
  <w:style w:type="paragraph" w:customStyle="1" w:styleId="TH">
    <w:name w:val="TH"/>
    <w:basedOn w:val="Normal"/>
    <w:rsid w:val="009C6263"/>
    <w:pPr>
      <w:keepNext/>
      <w:keepLines/>
      <w:spacing w:before="60"/>
      <w:jc w:val="center"/>
    </w:pPr>
    <w:rPr>
      <w:rFonts w:ascii="Arial" w:hAnsi="Arial"/>
      <w:b/>
    </w:rPr>
  </w:style>
  <w:style w:type="paragraph" w:customStyle="1" w:styleId="NF">
    <w:name w:val="NF"/>
    <w:basedOn w:val="NO"/>
    <w:rsid w:val="009C6263"/>
    <w:pPr>
      <w:keepNext/>
      <w:spacing w:after="0"/>
    </w:pPr>
    <w:rPr>
      <w:rFonts w:ascii="Arial" w:hAnsi="Arial"/>
      <w:sz w:val="18"/>
    </w:rPr>
  </w:style>
  <w:style w:type="paragraph" w:customStyle="1" w:styleId="PL">
    <w:name w:val="PL"/>
    <w:link w:val="PLChar"/>
    <w:rsid w:val="009C6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C6263"/>
    <w:pPr>
      <w:jc w:val="right"/>
    </w:pPr>
  </w:style>
  <w:style w:type="paragraph" w:customStyle="1" w:styleId="H6">
    <w:name w:val="H6"/>
    <w:basedOn w:val="Heading5"/>
    <w:next w:val="Normal"/>
    <w:rsid w:val="009C6263"/>
    <w:pPr>
      <w:ind w:left="1985" w:hanging="1985"/>
      <w:outlineLvl w:val="9"/>
    </w:pPr>
    <w:rPr>
      <w:sz w:val="20"/>
    </w:rPr>
  </w:style>
  <w:style w:type="paragraph" w:customStyle="1" w:styleId="TAN">
    <w:name w:val="TAN"/>
    <w:basedOn w:val="TAL"/>
    <w:rsid w:val="009C6263"/>
    <w:pPr>
      <w:ind w:left="851" w:hanging="851"/>
    </w:pPr>
  </w:style>
  <w:style w:type="paragraph" w:customStyle="1" w:styleId="TAL">
    <w:name w:val="TAL"/>
    <w:basedOn w:val="Normal"/>
    <w:rsid w:val="009C6263"/>
    <w:pPr>
      <w:keepNext/>
      <w:keepLines/>
      <w:spacing w:after="0"/>
    </w:pPr>
    <w:rPr>
      <w:rFonts w:ascii="Arial" w:hAnsi="Arial"/>
      <w:sz w:val="18"/>
    </w:rPr>
  </w:style>
  <w:style w:type="paragraph" w:customStyle="1" w:styleId="ZA">
    <w:name w:val="ZA"/>
    <w:rsid w:val="009C62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C62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C626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C62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C6263"/>
    <w:pPr>
      <w:framePr w:wrap="notBeside" w:y="16161"/>
    </w:pPr>
  </w:style>
  <w:style w:type="character" w:customStyle="1" w:styleId="ZGSM">
    <w:name w:val="ZGSM"/>
    <w:rsid w:val="009C6263"/>
  </w:style>
  <w:style w:type="paragraph" w:styleId="List2">
    <w:name w:val="List 2"/>
    <w:basedOn w:val="List"/>
    <w:rsid w:val="009C6263"/>
    <w:pPr>
      <w:ind w:left="851"/>
    </w:pPr>
  </w:style>
  <w:style w:type="paragraph" w:customStyle="1" w:styleId="ZG">
    <w:name w:val="ZG"/>
    <w:rsid w:val="009C62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C6263"/>
    <w:pPr>
      <w:ind w:left="1135"/>
    </w:pPr>
  </w:style>
  <w:style w:type="paragraph" w:styleId="List4">
    <w:name w:val="List 4"/>
    <w:basedOn w:val="List3"/>
    <w:rsid w:val="009C6263"/>
    <w:pPr>
      <w:ind w:left="1418"/>
    </w:pPr>
  </w:style>
  <w:style w:type="paragraph" w:styleId="List5">
    <w:name w:val="List 5"/>
    <w:basedOn w:val="List4"/>
    <w:rsid w:val="009C6263"/>
    <w:pPr>
      <w:ind w:left="1702"/>
    </w:pPr>
  </w:style>
  <w:style w:type="paragraph" w:customStyle="1" w:styleId="EditorsNote">
    <w:name w:val="Editor's Note"/>
    <w:basedOn w:val="NO"/>
    <w:rsid w:val="009C6263"/>
    <w:rPr>
      <w:color w:val="FF0000"/>
    </w:rPr>
  </w:style>
  <w:style w:type="paragraph" w:styleId="List">
    <w:name w:val="List"/>
    <w:basedOn w:val="Normal"/>
    <w:rsid w:val="009C6263"/>
    <w:pPr>
      <w:ind w:left="568" w:hanging="284"/>
    </w:pPr>
  </w:style>
  <w:style w:type="paragraph" w:styleId="ListBullet">
    <w:name w:val="List Bullet"/>
    <w:basedOn w:val="List"/>
    <w:rsid w:val="009C6263"/>
  </w:style>
  <w:style w:type="paragraph" w:styleId="ListBullet4">
    <w:name w:val="List Bullet 4"/>
    <w:basedOn w:val="ListBullet3"/>
    <w:rsid w:val="009C6263"/>
    <w:pPr>
      <w:ind w:left="1418"/>
    </w:pPr>
  </w:style>
  <w:style w:type="paragraph" w:styleId="ListBullet5">
    <w:name w:val="List Bullet 5"/>
    <w:basedOn w:val="ListBullet4"/>
    <w:rsid w:val="009C6263"/>
    <w:pPr>
      <w:ind w:left="1702"/>
    </w:pPr>
  </w:style>
  <w:style w:type="paragraph" w:customStyle="1" w:styleId="B1">
    <w:name w:val="B1"/>
    <w:basedOn w:val="List"/>
    <w:rsid w:val="009C6263"/>
  </w:style>
  <w:style w:type="paragraph" w:customStyle="1" w:styleId="B2">
    <w:name w:val="B2"/>
    <w:basedOn w:val="List2"/>
    <w:rsid w:val="009C6263"/>
  </w:style>
  <w:style w:type="paragraph" w:customStyle="1" w:styleId="B3">
    <w:name w:val="B3"/>
    <w:basedOn w:val="List3"/>
    <w:rsid w:val="009C6263"/>
  </w:style>
  <w:style w:type="paragraph" w:customStyle="1" w:styleId="B4">
    <w:name w:val="B4"/>
    <w:basedOn w:val="List4"/>
    <w:rsid w:val="009C6263"/>
  </w:style>
  <w:style w:type="paragraph" w:customStyle="1" w:styleId="B5">
    <w:name w:val="B5"/>
    <w:basedOn w:val="List5"/>
    <w:rsid w:val="009C6263"/>
  </w:style>
  <w:style w:type="paragraph" w:styleId="Footer">
    <w:name w:val="footer"/>
    <w:basedOn w:val="Header"/>
    <w:link w:val="FooterChar"/>
    <w:uiPriority w:val="99"/>
    <w:rsid w:val="009C6263"/>
    <w:pPr>
      <w:jc w:val="center"/>
    </w:pPr>
    <w:rPr>
      <w:i/>
    </w:rPr>
  </w:style>
  <w:style w:type="paragraph" w:customStyle="1" w:styleId="ZTD">
    <w:name w:val="ZTD"/>
    <w:basedOn w:val="ZB"/>
    <w:rsid w:val="009C6263"/>
    <w:pPr>
      <w:framePr w:hRule="auto" w:wrap="notBeside" w:y="852"/>
    </w:pPr>
    <w:rPr>
      <w:i w:val="0"/>
      <w:sz w:val="40"/>
    </w:rPr>
  </w:style>
  <w:style w:type="character" w:customStyle="1" w:styleId="MTEquationSection">
    <w:name w:val="MTEquationSection"/>
    <w:rsid w:val="009C6263"/>
    <w:rPr>
      <w:rFonts w:ascii="Arial" w:hAnsi="Arial"/>
      <w:vanish w:val="0"/>
      <w:color w:val="FF0000"/>
      <w:sz w:val="24"/>
    </w:rPr>
  </w:style>
  <w:style w:type="paragraph" w:styleId="BodyText3">
    <w:name w:val="Body Text 3"/>
    <w:basedOn w:val="Normal"/>
    <w:rsid w:val="009C6263"/>
    <w:rPr>
      <w:i/>
    </w:rPr>
  </w:style>
  <w:style w:type="paragraph" w:styleId="DocumentMap">
    <w:name w:val="Document Map"/>
    <w:basedOn w:val="Normal"/>
    <w:semiHidden/>
    <w:rsid w:val="009C6263"/>
    <w:pPr>
      <w:shd w:val="clear" w:color="auto" w:fill="000080"/>
    </w:pPr>
    <w:rPr>
      <w:rFonts w:ascii="Tahoma" w:hAnsi="Tahoma"/>
    </w:rPr>
  </w:style>
  <w:style w:type="paragraph" w:customStyle="1" w:styleId="Bulletedo1">
    <w:name w:val="Bulleted o 1"/>
    <w:basedOn w:val="Normal"/>
    <w:rsid w:val="009C6263"/>
    <w:pPr>
      <w:numPr>
        <w:numId w:val="1"/>
      </w:numPr>
    </w:pPr>
  </w:style>
  <w:style w:type="paragraph" w:customStyle="1" w:styleId="text">
    <w:name w:val="text"/>
    <w:basedOn w:val="Normal"/>
    <w:rsid w:val="009C6263"/>
    <w:pPr>
      <w:spacing w:after="240"/>
      <w:jc w:val="both"/>
    </w:pPr>
    <w:rPr>
      <w:sz w:val="24"/>
      <w:lang w:eastAsia="zh-CN"/>
    </w:rPr>
  </w:style>
  <w:style w:type="paragraph" w:customStyle="1" w:styleId="Equation">
    <w:name w:val="Equation"/>
    <w:basedOn w:val="Normal"/>
    <w:next w:val="Normal"/>
    <w:rsid w:val="009C6263"/>
    <w:pPr>
      <w:tabs>
        <w:tab w:val="right" w:pos="10206"/>
      </w:tabs>
      <w:spacing w:after="220"/>
      <w:ind w:left="1298"/>
    </w:pPr>
    <w:rPr>
      <w:rFonts w:ascii="Arial" w:hAnsi="Arial"/>
      <w:sz w:val="22"/>
      <w:lang w:eastAsia="zh-CN"/>
    </w:rPr>
  </w:style>
  <w:style w:type="paragraph" w:customStyle="1" w:styleId="00BodyText">
    <w:name w:val="00 BodyText"/>
    <w:basedOn w:val="Normal"/>
    <w:rsid w:val="009C6263"/>
    <w:pPr>
      <w:spacing w:after="220"/>
    </w:pPr>
    <w:rPr>
      <w:rFonts w:ascii="Arial" w:hAnsi="Arial"/>
      <w:sz w:val="22"/>
    </w:rPr>
  </w:style>
  <w:style w:type="paragraph" w:customStyle="1" w:styleId="11BodyText">
    <w:name w:val="11 BodyText"/>
    <w:basedOn w:val="Normal"/>
    <w:rsid w:val="009C6263"/>
    <w:pPr>
      <w:spacing w:after="220"/>
      <w:ind w:left="1298"/>
    </w:pPr>
    <w:rPr>
      <w:rFonts w:ascii="Arial" w:hAnsi="Arial"/>
      <w:sz w:val="22"/>
    </w:rPr>
  </w:style>
  <w:style w:type="paragraph" w:customStyle="1" w:styleId="table">
    <w:name w:val="table"/>
    <w:basedOn w:val="text"/>
    <w:next w:val="text"/>
    <w:rsid w:val="009C6263"/>
    <w:pPr>
      <w:spacing w:after="0"/>
      <w:jc w:val="center"/>
    </w:pPr>
    <w:rPr>
      <w:sz w:val="20"/>
    </w:rPr>
  </w:style>
  <w:style w:type="paragraph" w:styleId="Caption">
    <w:name w:val="caption"/>
    <w:aliases w:val="cap"/>
    <w:basedOn w:val="Normal"/>
    <w:next w:val="Normal"/>
    <w:qFormat/>
    <w:rsid w:val="009C6263"/>
    <w:pPr>
      <w:spacing w:before="120" w:after="120"/>
    </w:pPr>
    <w:rPr>
      <w:b/>
      <w:bCs/>
    </w:rPr>
  </w:style>
  <w:style w:type="paragraph" w:customStyle="1" w:styleId="bodyCharCharChar">
    <w:name w:val="body Char Char Char"/>
    <w:basedOn w:val="Normal"/>
    <w:rsid w:val="009C6263"/>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9C6263"/>
    <w:pPr>
      <w:spacing w:after="120"/>
      <w:jc w:val="both"/>
    </w:pPr>
    <w:rPr>
      <w:rFonts w:ascii="Times" w:hAnsi="Times"/>
      <w:szCs w:val="24"/>
    </w:rPr>
  </w:style>
  <w:style w:type="paragraph" w:styleId="BodyText2">
    <w:name w:val="Body Text 2"/>
    <w:basedOn w:val="Normal"/>
    <w:rsid w:val="009C6263"/>
    <w:pPr>
      <w:tabs>
        <w:tab w:val="left" w:pos="1985"/>
      </w:tabs>
      <w:spacing w:after="0"/>
      <w:jc w:val="both"/>
    </w:pPr>
    <w:rPr>
      <w:rFonts w:ascii="Arial" w:hAnsi="Arial"/>
      <w:sz w:val="22"/>
    </w:rPr>
  </w:style>
  <w:style w:type="character" w:customStyle="1" w:styleId="Heading1Char">
    <w:name w:val="Heading 1 Char"/>
    <w:rsid w:val="009C6263"/>
    <w:rPr>
      <w:rFonts w:ascii="Arial" w:hAnsi="Arial"/>
      <w:sz w:val="36"/>
      <w:lang w:val="en-GB" w:eastAsia="en-US" w:bidi="ar-SA"/>
    </w:rPr>
  </w:style>
  <w:style w:type="paragraph" w:customStyle="1" w:styleId="body">
    <w:name w:val="body"/>
    <w:basedOn w:val="Normal"/>
    <w:rsid w:val="009C6263"/>
    <w:pPr>
      <w:tabs>
        <w:tab w:val="left" w:pos="2160"/>
      </w:tabs>
      <w:spacing w:before="120" w:after="120" w:line="280" w:lineRule="atLeast"/>
      <w:jc w:val="both"/>
    </w:pPr>
    <w:rPr>
      <w:rFonts w:ascii="New York" w:hAnsi="New York"/>
      <w:sz w:val="24"/>
    </w:rPr>
  </w:style>
  <w:style w:type="table" w:styleId="TableGrid">
    <w:name w:val="Table Grid"/>
    <w:basedOn w:val="TableNormal"/>
    <w:rsid w:val="009C626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C6263"/>
  </w:style>
  <w:style w:type="character" w:styleId="CommentReference">
    <w:name w:val="annotation reference"/>
    <w:uiPriority w:val="99"/>
    <w:semiHidden/>
    <w:rsid w:val="009C6263"/>
    <w:rPr>
      <w:sz w:val="16"/>
      <w:szCs w:val="16"/>
    </w:rPr>
  </w:style>
  <w:style w:type="paragraph" w:styleId="CommentText">
    <w:name w:val="annotation text"/>
    <w:basedOn w:val="Normal"/>
    <w:link w:val="CommentTextChar"/>
    <w:uiPriority w:val="99"/>
    <w:rsid w:val="009C6263"/>
    <w:rPr>
      <w:lang w:eastAsia="x-none"/>
    </w:rPr>
  </w:style>
  <w:style w:type="paragraph" w:styleId="CommentSubject">
    <w:name w:val="annotation subject"/>
    <w:basedOn w:val="CommentText"/>
    <w:next w:val="CommentText"/>
    <w:semiHidden/>
    <w:rsid w:val="009C6263"/>
    <w:rPr>
      <w:b/>
      <w:bCs/>
    </w:rPr>
  </w:style>
  <w:style w:type="paragraph" w:styleId="BalloonText">
    <w:name w:val="Balloon Text"/>
    <w:basedOn w:val="Normal"/>
    <w:semiHidden/>
    <w:rsid w:val="009C6263"/>
    <w:rPr>
      <w:rFonts w:ascii="Tahoma" w:hAnsi="Tahoma" w:cs="Tahoma"/>
      <w:sz w:val="16"/>
      <w:szCs w:val="16"/>
    </w:rPr>
  </w:style>
  <w:style w:type="paragraph" w:customStyle="1" w:styleId="CRCoverPage">
    <w:name w:val="CR Cover Page"/>
    <w:rsid w:val="009C6263"/>
    <w:pPr>
      <w:spacing w:after="120"/>
    </w:pPr>
    <w:rPr>
      <w:rFonts w:ascii="Arial" w:eastAsia="MS Mincho" w:hAnsi="Arial"/>
      <w:lang w:val="en-GB" w:eastAsia="en-US"/>
    </w:rPr>
  </w:style>
  <w:style w:type="character" w:customStyle="1" w:styleId="Heading1Char1">
    <w:name w:val="Heading 1 Char1"/>
    <w:link w:val="Heading1"/>
    <w:rsid w:val="009C6263"/>
    <w:rPr>
      <w:rFonts w:ascii="Arial" w:hAnsi="Arial"/>
      <w:sz w:val="36"/>
      <w:lang w:val="en-GB" w:eastAsia="en-US"/>
    </w:rPr>
  </w:style>
  <w:style w:type="character" w:customStyle="1" w:styleId="Heading2Char">
    <w:name w:val="Heading 2 Char"/>
    <w:link w:val="Heading2"/>
    <w:rsid w:val="009C6263"/>
    <w:rPr>
      <w:rFonts w:ascii="Arial" w:hAnsi="Arial"/>
      <w:sz w:val="32"/>
      <w:lang w:val="en-GB" w:eastAsia="en-US"/>
    </w:rPr>
  </w:style>
  <w:style w:type="character" w:customStyle="1" w:styleId="Heading3Char">
    <w:name w:val="Heading 3 Char"/>
    <w:link w:val="Heading3"/>
    <w:rsid w:val="009C6263"/>
    <w:rPr>
      <w:rFonts w:ascii="Arial" w:hAnsi="Arial"/>
      <w:sz w:val="28"/>
      <w:lang w:val="en-GB" w:eastAsia="en-US"/>
    </w:rPr>
  </w:style>
  <w:style w:type="character" w:customStyle="1" w:styleId="Heading4Char">
    <w:name w:val="Heading 4 Char"/>
    <w:aliases w:val="h4 Char"/>
    <w:link w:val="Heading4"/>
    <w:rsid w:val="009C6263"/>
    <w:rPr>
      <w:rFonts w:ascii="Arial" w:hAnsi="Arial"/>
      <w:sz w:val="24"/>
      <w:lang w:val="en-GB" w:eastAsia="en-US"/>
    </w:rPr>
  </w:style>
  <w:style w:type="character" w:customStyle="1" w:styleId="Heading5Char">
    <w:name w:val="Heading 5 Char"/>
    <w:link w:val="Heading5"/>
    <w:rsid w:val="009C6263"/>
    <w:rPr>
      <w:rFonts w:ascii="Arial" w:hAnsi="Arial"/>
      <w:sz w:val="22"/>
      <w:lang w:val="en-GB" w:eastAsia="en-US"/>
    </w:rPr>
  </w:style>
  <w:style w:type="character" w:customStyle="1" w:styleId="CharChar3">
    <w:name w:val="Char Char3"/>
    <w:rsid w:val="009C6263"/>
    <w:rPr>
      <w:rFonts w:ascii="Arial" w:hAnsi="Arial"/>
      <w:sz w:val="36"/>
      <w:lang w:val="en-GB" w:eastAsia="en-US" w:bidi="ar-SA"/>
    </w:rPr>
  </w:style>
  <w:style w:type="character" w:customStyle="1" w:styleId="CharChar2">
    <w:name w:val="Char Char2"/>
    <w:rsid w:val="009C6263"/>
    <w:rPr>
      <w:rFonts w:ascii="Arial" w:hAnsi="Arial"/>
      <w:sz w:val="32"/>
      <w:lang w:val="en-GB" w:eastAsia="en-US" w:bidi="ar-SA"/>
    </w:rPr>
  </w:style>
  <w:style w:type="character" w:customStyle="1" w:styleId="CharChar1">
    <w:name w:val="Char Char1"/>
    <w:rsid w:val="009C6263"/>
    <w:rPr>
      <w:rFonts w:ascii="Arial" w:hAnsi="Arial"/>
      <w:sz w:val="28"/>
      <w:lang w:val="en-GB" w:eastAsia="en-US" w:bidi="ar-SA"/>
    </w:rPr>
  </w:style>
  <w:style w:type="character" w:customStyle="1" w:styleId="h4CharChar">
    <w:name w:val="h4 Char Char"/>
    <w:rsid w:val="009C6263"/>
    <w:rPr>
      <w:rFonts w:ascii="Arial" w:hAnsi="Arial"/>
      <w:sz w:val="24"/>
      <w:lang w:val="en-GB" w:eastAsia="en-US" w:bidi="ar-SA"/>
    </w:rPr>
  </w:style>
  <w:style w:type="character" w:customStyle="1" w:styleId="CharChar">
    <w:name w:val="Char Char"/>
    <w:rsid w:val="009C6263"/>
    <w:rPr>
      <w:rFonts w:ascii="Arial" w:hAnsi="Arial"/>
      <w:sz w:val="22"/>
      <w:lang w:val="en-GB" w:eastAsia="en-US" w:bidi="ar-SA"/>
    </w:rPr>
  </w:style>
  <w:style w:type="paragraph" w:styleId="ListParagraph">
    <w:name w:val="List Paragraph"/>
    <w:basedOn w:val="Normal"/>
    <w:link w:val="ListParagraphChar"/>
    <w:uiPriority w:val="34"/>
    <w:qFormat/>
    <w:rsid w:val="009C626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C626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C626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C6263"/>
    <w:rPr>
      <w:rFonts w:ascii="Cambria" w:eastAsia="Times New Roman" w:hAnsi="Cambria"/>
      <w:sz w:val="24"/>
      <w:szCs w:val="24"/>
      <w:lang w:eastAsia="x-none"/>
    </w:rPr>
  </w:style>
  <w:style w:type="paragraph" w:styleId="Revision">
    <w:name w:val="Revision"/>
    <w:hidden/>
    <w:uiPriority w:val="99"/>
    <w:semiHidden/>
    <w:rsid w:val="009C6263"/>
    <w:rPr>
      <w:rFonts w:ascii="Times New Roman" w:hAnsi="Times New Roman"/>
      <w:lang w:val="en-GB" w:eastAsia="en-US"/>
    </w:rPr>
  </w:style>
  <w:style w:type="paragraph" w:styleId="NormalWeb">
    <w:name w:val="Normal (Web)"/>
    <w:basedOn w:val="Normal"/>
    <w:uiPriority w:val="99"/>
    <w:unhideWhenUsed/>
    <w:rsid w:val="009C626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C6263"/>
    <w:rPr>
      <w:rFonts w:ascii="Times New Roman" w:hAnsi="Times New Roman"/>
      <w:lang w:eastAsia="x-none"/>
    </w:rPr>
  </w:style>
  <w:style w:type="character" w:styleId="PlaceholderText">
    <w:name w:val="Placeholder Text"/>
    <w:uiPriority w:val="99"/>
    <w:semiHidden/>
    <w:rsid w:val="009C6263"/>
    <w:rPr>
      <w:color w:val="808080"/>
    </w:rPr>
  </w:style>
  <w:style w:type="character" w:styleId="Hyperlink">
    <w:name w:val="Hyperlink"/>
    <w:rsid w:val="009C6263"/>
    <w:rPr>
      <w:color w:val="0000FF"/>
      <w:u w:val="single"/>
    </w:rPr>
  </w:style>
  <w:style w:type="character" w:styleId="FollowedHyperlink">
    <w:name w:val="FollowedHyperlink"/>
    <w:rsid w:val="009C6263"/>
    <w:rPr>
      <w:color w:val="800080"/>
      <w:u w:val="single"/>
    </w:rPr>
  </w:style>
  <w:style w:type="table" w:styleId="DarkList-Accent6">
    <w:name w:val="Dark List Accent 6"/>
    <w:basedOn w:val="TableNormal"/>
    <w:uiPriority w:val="70"/>
    <w:rsid w:val="009C626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C6263"/>
    <w:rPr>
      <w:rFonts w:ascii="Arial" w:hAnsi="Arial"/>
      <w:b/>
      <w:i/>
      <w:noProof/>
      <w:sz w:val="18"/>
      <w:lang w:eastAsia="en-US"/>
    </w:rPr>
  </w:style>
  <w:style w:type="paragraph" w:customStyle="1" w:styleId="Doc-text2">
    <w:name w:val="Doc-text2"/>
    <w:basedOn w:val="Normal"/>
    <w:link w:val="Doc-text2Char"/>
    <w:qFormat/>
    <w:rsid w:val="009C62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C6263"/>
    <w:rPr>
      <w:rFonts w:ascii="Arial" w:eastAsia="MS Mincho" w:hAnsi="Arial"/>
      <w:szCs w:val="24"/>
      <w:lang w:eastAsia="en-GB"/>
    </w:rPr>
  </w:style>
  <w:style w:type="character" w:customStyle="1" w:styleId="TALCar">
    <w:name w:val="TAL Car"/>
    <w:rsid w:val="009C626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ListParagraphChar">
    <w:name w:val="List Paragraph Char"/>
    <w:link w:val="ListParagraph"/>
    <w:uiPriority w:val="34"/>
    <w:rsid w:val="00422E8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4997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458306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9078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96166"/>
    <w:rsid w:val="001F5992"/>
    <w:rsid w:val="00202806"/>
    <w:rsid w:val="0025221E"/>
    <w:rsid w:val="00332038"/>
    <w:rsid w:val="003972A5"/>
    <w:rsid w:val="004D6C0C"/>
    <w:rsid w:val="004F02D6"/>
    <w:rsid w:val="0094457C"/>
    <w:rsid w:val="009635FB"/>
    <w:rsid w:val="009A5A2B"/>
    <w:rsid w:val="00A06413"/>
    <w:rsid w:val="00A85936"/>
    <w:rsid w:val="00AC7897"/>
    <w:rsid w:val="00C07419"/>
    <w:rsid w:val="00C41B7C"/>
    <w:rsid w:val="00C470AC"/>
    <w:rsid w:val="00D1123E"/>
    <w:rsid w:val="00F60E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83D2F21-C030-4191-A6B8-59CB0BDEB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B6E5B4-2E45-41F0-8B5F-F261BF31FA2A}">
  <ds:schemaRefs>
    <ds:schemaRef ds:uri="http://schemas.microsoft.com/sharepoint/v3/contenttype/forms"/>
  </ds:schemaRefs>
</ds:datastoreItem>
</file>

<file path=customXml/itemProps4.xml><?xml version="1.0" encoding="utf-8"?>
<ds:datastoreItem xmlns:ds="http://schemas.openxmlformats.org/officeDocument/2006/customXml" ds:itemID="{69CF21B4-62F1-424F-AA21-BA2C30FD69FE}">
  <ds:schemaRefs>
    <ds:schemaRef ds:uri="http://schemas.openxmlformats.org/officeDocument/2006/bibliography"/>
  </ds:schemaRefs>
</ds:datastoreItem>
</file>

<file path=customXml/itemProps5.xml><?xml version="1.0" encoding="utf-8"?>
<ds:datastoreItem xmlns:ds="http://schemas.openxmlformats.org/officeDocument/2006/customXml" ds:itemID="{19DBC8A4-EBE9-4103-8A73-437289487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4</Pages>
  <Words>1761</Words>
  <Characters>10043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Minimum HARQ processing time and Number of HARQ processes</vt:lpstr>
    </vt:vector>
  </TitlesOfParts>
  <Company>Intel</Company>
  <LinksUpToDate>false</LinksUpToDate>
  <CharactersWithSpaces>11781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Minimum HARQ processing time and Number of HARQ processes</dc:title>
  <dc:subject>R1-1705034</dc:subject>
  <dc:creator>Lee, Daewon</dc:creator>
  <cp:keywords>8.1.3.3.3</cp:keywords>
  <dc:description>Spokane, WA, U.S.A. 3rd - 7th April 2017</dc:description>
  <cp:lastModifiedBy>Lee, Daewon</cp:lastModifiedBy>
  <cp:revision>3</cp:revision>
  <cp:lastPrinted>2011-11-09T22:49:00Z</cp:lastPrinted>
  <dcterms:created xsi:type="dcterms:W3CDTF">2017-03-23T22:57:00Z</dcterms:created>
  <dcterms:modified xsi:type="dcterms:W3CDTF">2017-03-25T05:32:00Z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